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F3C084" w14:textId="6E867FC7" w:rsidR="005327F8" w:rsidRDefault="005327F8" w:rsidP="005327F8">
      <w:pPr>
        <w:spacing w:before="100" w:beforeAutospacing="1" w:after="100" w:afterAutospacing="1" w:line="240" w:lineRule="auto"/>
        <w:rPr>
          <w:rFonts w:ascii="Segoe UI" w:eastAsia="Calibri" w:hAnsi="Segoe UI" w:cs="Segoe UI"/>
          <w:bCs w:val="0"/>
          <w:sz w:val="18"/>
          <w:szCs w:val="18"/>
          <w:lang w:eastAsia="en-GB"/>
        </w:rPr>
      </w:pPr>
      <w:r>
        <w:rPr>
          <w:rFonts w:eastAsia="Calibri"/>
          <w:b/>
          <w:bCs w:val="0"/>
          <w:color w:val="1074CB"/>
          <w:sz w:val="44"/>
          <w:szCs w:val="44"/>
          <w:lang w:eastAsia="en-GB"/>
        </w:rPr>
        <w:t>SMMT NEW CAR REGISTRATIONS</w:t>
      </w:r>
      <w:r>
        <w:rPr>
          <w:rFonts w:ascii="Segoe UI" w:eastAsia="Calibri" w:hAnsi="Segoe UI" w:cs="Segoe UI"/>
          <w:bCs w:val="0"/>
          <w:sz w:val="18"/>
          <w:szCs w:val="18"/>
          <w:lang w:eastAsia="en-GB"/>
        </w:rPr>
        <w:br/>
      </w:r>
      <w:r w:rsidR="008467A1">
        <w:rPr>
          <w:rFonts w:eastAsia="Calibri"/>
          <w:bCs w:val="0"/>
          <w:color w:val="1074CB"/>
          <w:sz w:val="44"/>
          <w:szCs w:val="44"/>
          <w:lang w:eastAsia="en-GB"/>
        </w:rPr>
        <w:t>6</w:t>
      </w:r>
      <w:r>
        <w:rPr>
          <w:rFonts w:eastAsia="Calibri"/>
          <w:bCs w:val="0"/>
          <w:color w:val="1074CB"/>
          <w:sz w:val="44"/>
          <w:szCs w:val="44"/>
          <w:lang w:eastAsia="en-GB"/>
        </w:rPr>
        <w:t xml:space="preserve"> </w:t>
      </w:r>
      <w:r w:rsidR="008467A1">
        <w:rPr>
          <w:rFonts w:eastAsia="Calibri"/>
          <w:bCs w:val="0"/>
          <w:color w:val="1074CB"/>
          <w:sz w:val="44"/>
          <w:szCs w:val="44"/>
          <w:lang w:eastAsia="en-GB"/>
        </w:rPr>
        <w:t>Feb</w:t>
      </w:r>
      <w:r w:rsidR="00136907">
        <w:rPr>
          <w:rFonts w:eastAsia="Calibri"/>
          <w:bCs w:val="0"/>
          <w:color w:val="1074CB"/>
          <w:sz w:val="44"/>
          <w:szCs w:val="44"/>
          <w:lang w:eastAsia="en-GB"/>
        </w:rPr>
        <w:t xml:space="preserve"> 2023</w:t>
      </w:r>
      <w:r>
        <w:rPr>
          <w:rFonts w:ascii="Segoe UI" w:eastAsia="Calibri" w:hAnsi="Segoe UI" w:cs="Segoe UI"/>
          <w:bCs w:val="0"/>
          <w:sz w:val="18"/>
          <w:szCs w:val="18"/>
          <w:lang w:eastAsia="en-GB"/>
        </w:rPr>
        <w:t xml:space="preserve"> </w:t>
      </w:r>
      <w:r>
        <w:rPr>
          <w:rFonts w:eastAsia="Calibri"/>
          <w:bCs w:val="0"/>
          <w:color w:val="1074CB"/>
          <w:sz w:val="32"/>
          <w:szCs w:val="32"/>
          <w:lang w:eastAsia="en-GB"/>
        </w:rPr>
        <w:t xml:space="preserve">(data for </w:t>
      </w:r>
      <w:r w:rsidR="008467A1">
        <w:rPr>
          <w:rFonts w:eastAsia="Calibri"/>
          <w:bCs w:val="0"/>
          <w:color w:val="1074CB"/>
          <w:sz w:val="32"/>
          <w:szCs w:val="32"/>
          <w:lang w:eastAsia="en-GB"/>
        </w:rPr>
        <w:t>January 2023</w:t>
      </w:r>
      <w:r w:rsidR="00C14D65">
        <w:rPr>
          <w:rFonts w:eastAsia="Calibri"/>
          <w:bCs w:val="0"/>
          <w:color w:val="1074CB"/>
          <w:sz w:val="32"/>
          <w:szCs w:val="32"/>
          <w:lang w:eastAsia="en-GB"/>
        </w:rPr>
        <w:t>)</w:t>
      </w:r>
      <w:r>
        <w:rPr>
          <w:rFonts w:ascii="Segoe UI" w:eastAsia="Calibri" w:hAnsi="Segoe UI" w:cs="Segoe UI"/>
          <w:bCs w:val="0"/>
          <w:sz w:val="18"/>
          <w:szCs w:val="18"/>
          <w:lang w:eastAsia="en-GB"/>
        </w:rPr>
        <w:br/>
      </w:r>
      <w:r w:rsidRPr="00E41A69">
        <w:rPr>
          <w:rFonts w:eastAsia="Calibri"/>
          <w:b/>
          <w:bCs w:val="0"/>
          <w:sz w:val="18"/>
          <w:szCs w:val="18"/>
          <w:u w:val="single"/>
          <w:lang w:eastAsia="en-GB"/>
        </w:rPr>
        <w:t xml:space="preserve">Hi-res charts available via Dropbox: </w:t>
      </w:r>
    </w:p>
    <w:p w14:paraId="3DD3FB74" w14:textId="77777777" w:rsidR="00834229" w:rsidRPr="009D5851" w:rsidRDefault="00834229" w:rsidP="00834229">
      <w:pPr>
        <w:spacing w:line="276" w:lineRule="auto"/>
        <w:jc w:val="both"/>
        <w:rPr>
          <w:b/>
          <w:color w:val="1074CB"/>
          <w:sz w:val="32"/>
          <w:szCs w:val="32"/>
        </w:rPr>
      </w:pPr>
      <w:r w:rsidRPr="009D5851">
        <w:rPr>
          <w:b/>
          <w:bCs w:val="0"/>
          <w:color w:val="1074CB"/>
          <w:sz w:val="32"/>
          <w:szCs w:val="32"/>
        </w:rPr>
        <w:t>New car market defies national trend to deliver green growth</w:t>
      </w:r>
    </w:p>
    <w:p w14:paraId="08627459" w14:textId="1DA205AC" w:rsidR="00834229" w:rsidRPr="009D5851" w:rsidRDefault="00834229" w:rsidP="00834229">
      <w:pPr>
        <w:numPr>
          <w:ilvl w:val="0"/>
          <w:numId w:val="4"/>
        </w:numPr>
        <w:spacing w:line="276" w:lineRule="auto"/>
        <w:jc w:val="both"/>
        <w:rPr>
          <w:rFonts w:ascii="Calibri" w:eastAsia="Times New Roman" w:hAnsi="Calibri" w:cs="Calibri"/>
          <w:bCs w:val="0"/>
          <w:sz w:val="22"/>
          <w:szCs w:val="22"/>
          <w:lang w:eastAsia="en-GB"/>
        </w:rPr>
      </w:pPr>
      <w:bookmarkStart w:id="0" w:name="_Hlk126328913"/>
      <w:r w:rsidRPr="009D5851">
        <w:rPr>
          <w:rFonts w:eastAsia="Times New Roman"/>
          <w:lang w:eastAsia="en-GB"/>
        </w:rPr>
        <w:t xml:space="preserve">New car </w:t>
      </w:r>
      <w:r w:rsidR="00B73A35" w:rsidRPr="009D5851">
        <w:rPr>
          <w:rFonts w:eastAsia="Times New Roman"/>
          <w:lang w:eastAsia="en-GB"/>
        </w:rPr>
        <w:t>market</w:t>
      </w:r>
      <w:r w:rsidRPr="009D5851">
        <w:rPr>
          <w:rFonts w:eastAsia="Times New Roman"/>
          <w:lang w:eastAsia="en-GB"/>
        </w:rPr>
        <w:t xml:space="preserve"> record</w:t>
      </w:r>
      <w:r w:rsidR="00B73A35" w:rsidRPr="009D5851">
        <w:rPr>
          <w:rFonts w:eastAsia="Times New Roman"/>
          <w:lang w:eastAsia="en-GB"/>
        </w:rPr>
        <w:t>s</w:t>
      </w:r>
      <w:r w:rsidRPr="009D5851">
        <w:rPr>
          <w:rFonts w:eastAsia="Times New Roman"/>
          <w:lang w:eastAsia="en-GB"/>
        </w:rPr>
        <w:t xml:space="preserve"> sixth consecutive month of growth with January </w:t>
      </w:r>
      <w:r w:rsidR="00B73A35" w:rsidRPr="009D5851">
        <w:rPr>
          <w:rFonts w:eastAsia="Times New Roman"/>
          <w:lang w:eastAsia="en-GB"/>
        </w:rPr>
        <w:t xml:space="preserve">registrations </w:t>
      </w:r>
      <w:r w:rsidRPr="009D5851">
        <w:rPr>
          <w:rFonts w:eastAsia="Times New Roman"/>
          <w:lang w:eastAsia="en-GB"/>
        </w:rPr>
        <w:t xml:space="preserve">rising </w:t>
      </w:r>
      <w:r w:rsidR="00815871" w:rsidRPr="009D5851">
        <w:rPr>
          <w:rFonts w:eastAsia="Times New Roman"/>
          <w:lang w:eastAsia="en-GB"/>
        </w:rPr>
        <w:t>14.</w:t>
      </w:r>
      <w:r w:rsidR="00D03FFF" w:rsidRPr="009D5851">
        <w:rPr>
          <w:rFonts w:eastAsia="Times New Roman"/>
          <w:lang w:eastAsia="en-GB"/>
        </w:rPr>
        <w:t>7</w:t>
      </w:r>
      <w:r w:rsidRPr="009D5851">
        <w:rPr>
          <w:rFonts w:eastAsia="Times New Roman"/>
          <w:lang w:eastAsia="en-GB"/>
        </w:rPr>
        <w:t xml:space="preserve">% as </w:t>
      </w:r>
      <w:r w:rsidR="009F1892" w:rsidRPr="009D5851">
        <w:rPr>
          <w:rFonts w:eastAsia="Times New Roman"/>
          <w:lang w:eastAsia="en-GB"/>
        </w:rPr>
        <w:t>131,</w:t>
      </w:r>
      <w:r w:rsidR="001335CF" w:rsidRPr="009D5851">
        <w:rPr>
          <w:rFonts w:eastAsia="Times New Roman"/>
          <w:lang w:eastAsia="en-GB"/>
        </w:rPr>
        <w:t>994</w:t>
      </w:r>
      <w:r w:rsidR="009F1892" w:rsidRPr="009D5851">
        <w:rPr>
          <w:rFonts w:eastAsia="Times New Roman"/>
          <w:lang w:eastAsia="en-GB"/>
        </w:rPr>
        <w:t xml:space="preserve"> </w:t>
      </w:r>
      <w:r w:rsidRPr="009D5851">
        <w:rPr>
          <w:rFonts w:eastAsia="Times New Roman"/>
          <w:lang w:eastAsia="en-GB"/>
        </w:rPr>
        <w:t>new cars reach the road.</w:t>
      </w:r>
    </w:p>
    <w:p w14:paraId="441640B1" w14:textId="1B7CB402" w:rsidR="00834229" w:rsidRPr="009D5851" w:rsidRDefault="00834229" w:rsidP="00834229">
      <w:pPr>
        <w:numPr>
          <w:ilvl w:val="0"/>
          <w:numId w:val="4"/>
        </w:numPr>
        <w:spacing w:line="276" w:lineRule="auto"/>
        <w:jc w:val="both"/>
        <w:rPr>
          <w:rFonts w:eastAsia="Times New Roman"/>
          <w:lang w:eastAsia="en-GB"/>
        </w:rPr>
      </w:pPr>
      <w:r w:rsidRPr="009D5851">
        <w:rPr>
          <w:rFonts w:eastAsia="Times New Roman"/>
          <w:lang w:eastAsia="en-GB"/>
        </w:rPr>
        <w:t>Plug-in vehicles continue growth but chargepoint rollout fail</w:t>
      </w:r>
      <w:r w:rsidR="00B73A35" w:rsidRPr="009D5851">
        <w:rPr>
          <w:rFonts w:eastAsia="Times New Roman"/>
          <w:lang w:eastAsia="en-GB"/>
        </w:rPr>
        <w:t>s</w:t>
      </w:r>
      <w:r w:rsidRPr="009D5851">
        <w:rPr>
          <w:rFonts w:eastAsia="Times New Roman"/>
          <w:lang w:eastAsia="en-GB"/>
        </w:rPr>
        <w:t xml:space="preserve"> to keep pace, challenging consumer confidence. </w:t>
      </w:r>
    </w:p>
    <w:p w14:paraId="24BC8F48" w14:textId="517054EC" w:rsidR="00834229" w:rsidRPr="009D5851" w:rsidRDefault="00834229" w:rsidP="00834229">
      <w:pPr>
        <w:numPr>
          <w:ilvl w:val="0"/>
          <w:numId w:val="4"/>
        </w:numPr>
        <w:spacing w:line="276" w:lineRule="auto"/>
        <w:jc w:val="both"/>
        <w:rPr>
          <w:rFonts w:eastAsia="Times New Roman"/>
          <w:sz w:val="22"/>
          <w:szCs w:val="22"/>
          <w:lang w:eastAsia="en-GB"/>
        </w:rPr>
      </w:pPr>
      <w:r w:rsidRPr="009D5851">
        <w:rPr>
          <w:rFonts w:eastAsia="Times New Roman"/>
          <w:lang w:eastAsia="en-GB"/>
        </w:rPr>
        <w:t xml:space="preserve">Latest outlook anticipates </w:t>
      </w:r>
      <w:r w:rsidR="00815871" w:rsidRPr="009D5851">
        <w:rPr>
          <w:rFonts w:eastAsia="Times New Roman"/>
          <w:lang w:eastAsia="en-GB"/>
        </w:rPr>
        <w:t>11.1</w:t>
      </w:r>
      <w:r w:rsidRPr="009D5851">
        <w:rPr>
          <w:rFonts w:eastAsia="Times New Roman"/>
          <w:lang w:eastAsia="en-GB"/>
        </w:rPr>
        <w:t>% market uplift in 2023 to reach 1.7</w:t>
      </w:r>
      <w:r w:rsidR="00815871" w:rsidRPr="009D5851">
        <w:rPr>
          <w:rFonts w:eastAsia="Times New Roman"/>
          <w:lang w:eastAsia="en-GB"/>
        </w:rPr>
        <w:t>9</w:t>
      </w:r>
      <w:r w:rsidRPr="009D5851">
        <w:rPr>
          <w:rFonts w:eastAsia="Times New Roman"/>
          <w:lang w:eastAsia="en-GB"/>
        </w:rPr>
        <w:t>m units despite straitened economy and strained supply chains.</w:t>
      </w:r>
    </w:p>
    <w:p w14:paraId="70D193D8" w14:textId="77777777" w:rsidR="00834229" w:rsidRPr="009D5851" w:rsidRDefault="00834229" w:rsidP="00834229">
      <w:pPr>
        <w:numPr>
          <w:ilvl w:val="0"/>
          <w:numId w:val="4"/>
        </w:numPr>
        <w:spacing w:line="276" w:lineRule="auto"/>
        <w:jc w:val="both"/>
        <w:rPr>
          <w:rFonts w:eastAsia="Times New Roman"/>
          <w:lang w:eastAsia="en-GB"/>
        </w:rPr>
      </w:pPr>
      <w:r w:rsidRPr="009D5851">
        <w:rPr>
          <w:rFonts w:eastAsia="Times New Roman"/>
          <w:lang w:eastAsia="en-GB"/>
        </w:rPr>
        <w:t>Delivery of green goals in danger of delay without chargepoint mandates and action on VAT and VED.</w:t>
      </w:r>
      <w:r w:rsidRPr="009D5851">
        <w:rPr>
          <w:rFonts w:eastAsia="Times New Roman"/>
          <w:color w:val="FF0000"/>
          <w:lang w:eastAsia="en-GB"/>
        </w:rPr>
        <w:t xml:space="preserve"> </w:t>
      </w:r>
    </w:p>
    <w:bookmarkEnd w:id="0"/>
    <w:p w14:paraId="3291FEAF" w14:textId="18D66A17" w:rsidR="00834229" w:rsidRPr="009D5851" w:rsidRDefault="00834229" w:rsidP="00834229">
      <w:pPr>
        <w:jc w:val="both"/>
        <w:rPr>
          <w:lang w:eastAsia="en-GB"/>
        </w:rPr>
      </w:pPr>
      <w:r w:rsidRPr="009D5851">
        <w:rPr>
          <w:b/>
          <w:bCs w:val="0"/>
          <w:lang w:eastAsia="en-GB"/>
        </w:rPr>
        <w:t>Monday 6 February, 2023</w:t>
      </w:r>
      <w:r w:rsidRPr="009D5851">
        <w:rPr>
          <w:lang w:eastAsia="en-GB"/>
        </w:rPr>
        <w:t xml:space="preserve"> The UK new car market grew 14.</w:t>
      </w:r>
      <w:r w:rsidR="001335CF" w:rsidRPr="009D5851">
        <w:rPr>
          <w:lang w:eastAsia="en-GB"/>
        </w:rPr>
        <w:t>7</w:t>
      </w:r>
      <w:r w:rsidRPr="009D5851">
        <w:rPr>
          <w:lang w:eastAsia="en-GB"/>
        </w:rPr>
        <w:t>% in January to reach 131,</w:t>
      </w:r>
      <w:r w:rsidR="001335CF" w:rsidRPr="009D5851">
        <w:rPr>
          <w:lang w:eastAsia="en-GB"/>
        </w:rPr>
        <w:t>994</w:t>
      </w:r>
      <w:r w:rsidRPr="009D5851">
        <w:rPr>
          <w:lang w:eastAsia="en-GB"/>
        </w:rPr>
        <w:t xml:space="preserve"> units, according to the latest figures from the Society of Motor Manufacturers and Traders (SMMT), setting the tone for an anticipated countercyclical year of growth. This was the best start to the year since </w:t>
      </w:r>
      <w:r w:rsidR="00B73A35" w:rsidRPr="009D5851">
        <w:rPr>
          <w:lang w:eastAsia="en-GB"/>
        </w:rPr>
        <w:t xml:space="preserve">January </w:t>
      </w:r>
      <w:r w:rsidRPr="009D5851">
        <w:rPr>
          <w:lang w:eastAsia="en-GB"/>
        </w:rPr>
        <w:t>2020’s pre-Covid 149,279 units and marks the sixth successive month of expansion.</w:t>
      </w:r>
    </w:p>
    <w:p w14:paraId="402DD862" w14:textId="7013CBFC" w:rsidR="00834229" w:rsidRPr="009D5851" w:rsidRDefault="00834229" w:rsidP="00834229">
      <w:pPr>
        <w:jc w:val="both"/>
        <w:rPr>
          <w:lang w:eastAsia="en-GB"/>
        </w:rPr>
      </w:pPr>
      <w:r w:rsidRPr="009D5851">
        <w:rPr>
          <w:lang w:eastAsia="en-GB"/>
        </w:rPr>
        <w:t xml:space="preserve">Electrified vehicles notably drove the increase, as manufacturers continue to bring ever more choice to the market despite </w:t>
      </w:r>
      <w:r w:rsidR="007A2BAE" w:rsidRPr="009D5851">
        <w:rPr>
          <w:lang w:eastAsia="en-GB"/>
        </w:rPr>
        <w:t xml:space="preserve">ongoing </w:t>
      </w:r>
      <w:r w:rsidRPr="009D5851">
        <w:rPr>
          <w:lang w:eastAsia="en-GB"/>
        </w:rPr>
        <w:t>strains on the supply chains. Hybrid electric vehicles (HEVs) comprised 14.4% of new car registrations, increasing volumes by 40.</w:t>
      </w:r>
      <w:r w:rsidR="001335CF" w:rsidRPr="009D5851">
        <w:rPr>
          <w:lang w:eastAsia="en-GB"/>
        </w:rPr>
        <w:t>6</w:t>
      </w:r>
      <w:r w:rsidRPr="009D5851">
        <w:rPr>
          <w:lang w:eastAsia="en-GB"/>
        </w:rPr>
        <w:t>%. Meanwhile</w:t>
      </w:r>
      <w:r w:rsidR="00B73A35" w:rsidRPr="009D5851">
        <w:rPr>
          <w:lang w:eastAsia="en-GB"/>
        </w:rPr>
        <w:t>,</w:t>
      </w:r>
      <w:r w:rsidRPr="009D5851">
        <w:rPr>
          <w:lang w:eastAsia="en-GB"/>
        </w:rPr>
        <w:t xml:space="preserve"> battery electric vehicle (BEV) registrations rose 1</w:t>
      </w:r>
      <w:r w:rsidR="00792BEE" w:rsidRPr="009D5851">
        <w:rPr>
          <w:lang w:eastAsia="en-GB"/>
        </w:rPr>
        <w:t>9.</w:t>
      </w:r>
      <w:r w:rsidR="001335CF" w:rsidRPr="009D5851">
        <w:rPr>
          <w:lang w:eastAsia="en-GB"/>
        </w:rPr>
        <w:t>8</w:t>
      </w:r>
      <w:r w:rsidRPr="009D5851">
        <w:rPr>
          <w:lang w:eastAsia="en-GB"/>
        </w:rPr>
        <w:t xml:space="preserve">% to reach </w:t>
      </w:r>
      <w:r w:rsidR="00792BEE" w:rsidRPr="009D5851">
        <w:rPr>
          <w:lang w:eastAsia="en-GB"/>
        </w:rPr>
        <w:t>17,2</w:t>
      </w:r>
      <w:r w:rsidR="001335CF" w:rsidRPr="009D5851">
        <w:rPr>
          <w:lang w:eastAsia="en-GB"/>
        </w:rPr>
        <w:t>94</w:t>
      </w:r>
      <w:r w:rsidRPr="009D5851">
        <w:rPr>
          <w:lang w:eastAsia="en-GB"/>
        </w:rPr>
        <w:t xml:space="preserve"> units, or 13.</w:t>
      </w:r>
      <w:r w:rsidR="00792BEE" w:rsidRPr="009D5851">
        <w:rPr>
          <w:lang w:eastAsia="en-GB"/>
        </w:rPr>
        <w:t>1</w:t>
      </w:r>
      <w:r w:rsidRPr="009D5851">
        <w:rPr>
          <w:lang w:eastAsia="en-GB"/>
        </w:rPr>
        <w:t>% of new registrations – slightly below the average recorded for 2022.</w:t>
      </w:r>
      <w:r w:rsidRPr="009D5851">
        <w:rPr>
          <w:vertAlign w:val="superscript"/>
          <w:lang w:eastAsia="en-GB"/>
        </w:rPr>
        <w:t>1</w:t>
      </w:r>
      <w:r w:rsidRPr="009D5851">
        <w:rPr>
          <w:lang w:eastAsia="en-GB"/>
        </w:rPr>
        <w:t xml:space="preserve"> Plug-in hybrid vehicles (PHEVs) recorded a </w:t>
      </w:r>
      <w:r w:rsidR="001335CF" w:rsidRPr="009D5851">
        <w:rPr>
          <w:lang w:eastAsia="en-GB"/>
        </w:rPr>
        <w:t>0.7</w:t>
      </w:r>
      <w:r w:rsidRPr="009D5851">
        <w:rPr>
          <w:lang w:eastAsia="en-GB"/>
        </w:rPr>
        <w:t xml:space="preserve">% </w:t>
      </w:r>
      <w:r w:rsidR="001335CF" w:rsidRPr="009D5851">
        <w:rPr>
          <w:lang w:eastAsia="en-GB"/>
        </w:rPr>
        <w:t>rise</w:t>
      </w:r>
      <w:r w:rsidRPr="009D5851">
        <w:rPr>
          <w:lang w:eastAsia="en-GB"/>
        </w:rPr>
        <w:t xml:space="preserve">, </w:t>
      </w:r>
      <w:r w:rsidR="001335CF" w:rsidRPr="009D5851">
        <w:rPr>
          <w:lang w:eastAsia="en-GB"/>
        </w:rPr>
        <w:t xml:space="preserve">although their </w:t>
      </w:r>
      <w:r w:rsidRPr="009D5851">
        <w:rPr>
          <w:lang w:eastAsia="en-GB"/>
        </w:rPr>
        <w:t>share f</w:t>
      </w:r>
      <w:r w:rsidR="001335CF" w:rsidRPr="009D5851">
        <w:rPr>
          <w:lang w:eastAsia="en-GB"/>
        </w:rPr>
        <w:t>e</w:t>
      </w:r>
      <w:r w:rsidRPr="009D5851">
        <w:rPr>
          <w:lang w:eastAsia="en-GB"/>
        </w:rPr>
        <w:t xml:space="preserve">ll to </w:t>
      </w:r>
      <w:r w:rsidR="00792BEE" w:rsidRPr="009D5851">
        <w:rPr>
          <w:lang w:eastAsia="en-GB"/>
        </w:rPr>
        <w:t>6</w:t>
      </w:r>
      <w:r w:rsidRPr="009D5851">
        <w:rPr>
          <w:lang w:eastAsia="en-GB"/>
        </w:rPr>
        <w:t>.</w:t>
      </w:r>
      <w:r w:rsidR="001335CF" w:rsidRPr="009D5851">
        <w:rPr>
          <w:lang w:eastAsia="en-GB"/>
        </w:rPr>
        <w:t>9</w:t>
      </w:r>
      <w:r w:rsidRPr="009D5851">
        <w:rPr>
          <w:lang w:eastAsia="en-GB"/>
        </w:rPr>
        <w:t>% of new cars reaching the road.</w:t>
      </w:r>
      <w:r w:rsidR="009D5851" w:rsidRPr="009D5851">
        <w:rPr>
          <w:vertAlign w:val="superscript"/>
          <w:lang w:eastAsia="en-GB"/>
        </w:rPr>
        <w:t>2</w:t>
      </w:r>
      <w:r w:rsidRPr="009D5851">
        <w:rPr>
          <w:lang w:eastAsia="en-GB"/>
        </w:rPr>
        <w:t xml:space="preserve"> As a result, one in five new </w:t>
      </w:r>
      <w:r w:rsidR="00B73A35" w:rsidRPr="009D5851">
        <w:rPr>
          <w:lang w:eastAsia="en-GB"/>
        </w:rPr>
        <w:t>cars registered</w:t>
      </w:r>
      <w:r w:rsidRPr="009D5851">
        <w:rPr>
          <w:lang w:eastAsia="en-GB"/>
        </w:rPr>
        <w:t xml:space="preserve"> in the month came with a plug.</w:t>
      </w:r>
    </w:p>
    <w:p w14:paraId="700D70A8" w14:textId="500A18B8" w:rsidR="00834229" w:rsidRPr="009D5851" w:rsidRDefault="00834229" w:rsidP="00834229">
      <w:pPr>
        <w:jc w:val="both"/>
        <w:rPr>
          <w:lang w:eastAsia="en-GB"/>
        </w:rPr>
      </w:pPr>
      <w:r w:rsidRPr="009D5851">
        <w:rPr>
          <w:lang w:eastAsia="en-GB"/>
        </w:rPr>
        <w:t xml:space="preserve">It was also a strong month for large fleet registrations, which increased by </w:t>
      </w:r>
      <w:r w:rsidR="00792BEE" w:rsidRPr="009D5851">
        <w:rPr>
          <w:lang w:eastAsia="en-GB"/>
        </w:rPr>
        <w:t>3</w:t>
      </w:r>
      <w:r w:rsidR="001335CF" w:rsidRPr="009D5851">
        <w:rPr>
          <w:lang w:eastAsia="en-GB"/>
        </w:rPr>
        <w:t>6.8</w:t>
      </w:r>
      <w:r w:rsidRPr="009D5851">
        <w:rPr>
          <w:lang w:eastAsia="en-GB"/>
        </w:rPr>
        <w:t>% to 6</w:t>
      </w:r>
      <w:r w:rsidR="00792BEE" w:rsidRPr="009D5851">
        <w:rPr>
          <w:lang w:eastAsia="en-GB"/>
        </w:rPr>
        <w:t>9</w:t>
      </w:r>
      <w:r w:rsidRPr="009D5851">
        <w:rPr>
          <w:lang w:eastAsia="en-GB"/>
        </w:rPr>
        <w:t>,</w:t>
      </w:r>
      <w:r w:rsidR="001335CF" w:rsidRPr="009D5851">
        <w:rPr>
          <w:lang w:eastAsia="en-GB"/>
        </w:rPr>
        <w:t>540</w:t>
      </w:r>
      <w:r w:rsidRPr="009D5851">
        <w:rPr>
          <w:lang w:eastAsia="en-GB"/>
        </w:rPr>
        <w:t xml:space="preserve"> units, while registrations by private buyers fell by -</w:t>
      </w:r>
      <w:r w:rsidR="00792BEE" w:rsidRPr="009D5851">
        <w:rPr>
          <w:lang w:eastAsia="en-GB"/>
        </w:rPr>
        <w:t>4</w:t>
      </w:r>
      <w:r w:rsidRPr="009D5851">
        <w:rPr>
          <w:lang w:eastAsia="en-GB"/>
        </w:rPr>
        <w:t>.</w:t>
      </w:r>
      <w:r w:rsidR="001335CF" w:rsidRPr="009D5851">
        <w:rPr>
          <w:lang w:eastAsia="en-GB"/>
        </w:rPr>
        <w:t>3</w:t>
      </w:r>
      <w:r w:rsidRPr="009D5851">
        <w:rPr>
          <w:lang w:eastAsia="en-GB"/>
        </w:rPr>
        <w:t xml:space="preserve">% </w:t>
      </w:r>
      <w:r w:rsidR="00B73A35" w:rsidRPr="009D5851">
        <w:rPr>
          <w:lang w:eastAsia="en-GB"/>
        </w:rPr>
        <w:t xml:space="preserve">to </w:t>
      </w:r>
      <w:r w:rsidR="009F1892" w:rsidRPr="009D5851">
        <w:rPr>
          <w:lang w:eastAsia="en-GB"/>
        </w:rPr>
        <w:t>59,6</w:t>
      </w:r>
      <w:r w:rsidR="001335CF" w:rsidRPr="009D5851">
        <w:rPr>
          <w:lang w:eastAsia="en-GB"/>
        </w:rPr>
        <w:t>39</w:t>
      </w:r>
      <w:r w:rsidR="00B73A35" w:rsidRPr="009D5851">
        <w:rPr>
          <w:lang w:eastAsia="en-GB"/>
        </w:rPr>
        <w:t xml:space="preserve"> units </w:t>
      </w:r>
      <w:r w:rsidR="00B73A35" w:rsidRPr="009D5851">
        <w:rPr>
          <w:lang w:val="en-US"/>
        </w:rPr>
        <w:t>–</w:t>
      </w:r>
      <w:r w:rsidRPr="009D5851">
        <w:rPr>
          <w:lang w:eastAsia="en-GB"/>
        </w:rPr>
        <w:t xml:space="preserve"> reflecting some easing of supply and evidence of how shortages last year distorted market performance. Registrations by businesses, the smallest segment at 2,</w:t>
      </w:r>
      <w:r w:rsidR="00792BEE" w:rsidRPr="009D5851">
        <w:rPr>
          <w:lang w:eastAsia="en-GB"/>
        </w:rPr>
        <w:t>8</w:t>
      </w:r>
      <w:r w:rsidR="001335CF" w:rsidRPr="009D5851">
        <w:rPr>
          <w:lang w:eastAsia="en-GB"/>
        </w:rPr>
        <w:t>15</w:t>
      </w:r>
      <w:r w:rsidRPr="009D5851">
        <w:rPr>
          <w:lang w:eastAsia="en-GB"/>
        </w:rPr>
        <w:t xml:space="preserve"> units, rose by </w:t>
      </w:r>
      <w:r w:rsidR="00792BEE" w:rsidRPr="009D5851">
        <w:rPr>
          <w:lang w:eastAsia="en-GB"/>
        </w:rPr>
        <w:t>45.</w:t>
      </w:r>
      <w:r w:rsidR="001335CF" w:rsidRPr="009D5851">
        <w:rPr>
          <w:lang w:eastAsia="en-GB"/>
        </w:rPr>
        <w:t>6</w:t>
      </w:r>
      <w:r w:rsidRPr="009D5851">
        <w:rPr>
          <w:lang w:eastAsia="en-GB"/>
        </w:rPr>
        <w:t>%.</w:t>
      </w:r>
    </w:p>
    <w:p w14:paraId="19AB2F70" w14:textId="788DCC77" w:rsidR="00834229" w:rsidRDefault="00B73A35" w:rsidP="00834229">
      <w:pPr>
        <w:jc w:val="both"/>
        <w:rPr>
          <w:lang w:eastAsia="en-GB"/>
        </w:rPr>
      </w:pPr>
      <w:r w:rsidRPr="009D5851">
        <w:rPr>
          <w:lang w:eastAsia="en-GB"/>
        </w:rPr>
        <w:t>Plug-ins</w:t>
      </w:r>
      <w:r w:rsidR="00834229" w:rsidRPr="009D5851">
        <w:rPr>
          <w:lang w:eastAsia="en-GB"/>
        </w:rPr>
        <w:t xml:space="preserve"> are anticipated to comprise </w:t>
      </w:r>
      <w:r w:rsidR="000B4C35" w:rsidRPr="009D5851">
        <w:rPr>
          <w:lang w:eastAsia="en-GB"/>
        </w:rPr>
        <w:t xml:space="preserve">of </w:t>
      </w:r>
      <w:r w:rsidR="00834229" w:rsidRPr="009D5851">
        <w:rPr>
          <w:lang w:eastAsia="en-GB"/>
        </w:rPr>
        <w:t>more than one in four new registrations</w:t>
      </w:r>
      <w:r w:rsidR="00792BEE" w:rsidRPr="009D5851">
        <w:rPr>
          <w:rFonts w:eastAsia="Calibri"/>
          <w:bCs w:val="0"/>
          <w:lang w:eastAsia="en-GB"/>
        </w:rPr>
        <w:t xml:space="preserve"> </w:t>
      </w:r>
      <w:r w:rsidR="00834229" w:rsidRPr="009D5851">
        <w:rPr>
          <w:lang w:eastAsia="en-GB"/>
        </w:rPr>
        <w:t xml:space="preserve">this year, representing growth of </w:t>
      </w:r>
      <w:r w:rsidR="00792BEE" w:rsidRPr="009D5851">
        <w:rPr>
          <w:lang w:eastAsia="en-GB"/>
        </w:rPr>
        <w:t>32.</w:t>
      </w:r>
      <w:r w:rsidR="001335CF" w:rsidRPr="009D5851">
        <w:rPr>
          <w:lang w:eastAsia="en-GB"/>
        </w:rPr>
        <w:t>1</w:t>
      </w:r>
      <w:r w:rsidR="00834229" w:rsidRPr="009D5851">
        <w:rPr>
          <w:lang w:eastAsia="en-GB"/>
        </w:rPr>
        <w:t>% or approximately 4</w:t>
      </w:r>
      <w:r w:rsidR="00792BEE" w:rsidRPr="009D5851">
        <w:rPr>
          <w:lang w:eastAsia="en-GB"/>
        </w:rPr>
        <w:t>8</w:t>
      </w:r>
      <w:r w:rsidR="000C3303" w:rsidRPr="009D5851">
        <w:rPr>
          <w:lang w:eastAsia="en-GB"/>
        </w:rPr>
        <w:t>7</w:t>
      </w:r>
      <w:r w:rsidR="00834229" w:rsidRPr="009D5851">
        <w:rPr>
          <w:lang w:eastAsia="en-GB"/>
        </w:rPr>
        <w:t>,</w:t>
      </w:r>
      <w:r w:rsidR="000C3303" w:rsidRPr="009D5851">
        <w:rPr>
          <w:lang w:eastAsia="en-GB"/>
        </w:rPr>
        <w:t>14</w:t>
      </w:r>
      <w:r w:rsidR="00834229" w:rsidRPr="009D5851">
        <w:rPr>
          <w:lang w:eastAsia="en-GB"/>
        </w:rPr>
        <w:t>0 units</w:t>
      </w:r>
      <w:r w:rsidR="00792BEE" w:rsidRPr="009D5851">
        <w:rPr>
          <w:lang w:eastAsia="en-GB"/>
        </w:rPr>
        <w:t>, and almost a third (</w:t>
      </w:r>
      <w:r w:rsidR="00C95045" w:rsidRPr="009D5851">
        <w:rPr>
          <w:lang w:eastAsia="en-GB"/>
        </w:rPr>
        <w:t>3</w:t>
      </w:r>
      <w:r w:rsidR="00C14D65" w:rsidRPr="009D5851">
        <w:rPr>
          <w:lang w:eastAsia="en-GB"/>
        </w:rPr>
        <w:t>1.0</w:t>
      </w:r>
      <w:r w:rsidR="00792BEE" w:rsidRPr="009D5851">
        <w:rPr>
          <w:lang w:eastAsia="en-GB"/>
        </w:rPr>
        <w:t xml:space="preserve">%) of the market in 2024 at </w:t>
      </w:r>
      <w:r w:rsidR="00C95045" w:rsidRPr="009D5851">
        <w:rPr>
          <w:lang w:eastAsia="en-GB"/>
        </w:rPr>
        <w:t>607,150</w:t>
      </w:r>
      <w:r w:rsidR="00792BEE" w:rsidRPr="009D5851">
        <w:rPr>
          <w:lang w:eastAsia="en-GB"/>
        </w:rPr>
        <w:t xml:space="preserve"> units.</w:t>
      </w:r>
      <w:r w:rsidR="0035325F" w:rsidRPr="0035325F">
        <w:rPr>
          <w:vertAlign w:val="superscript"/>
          <w:lang w:eastAsia="en-GB"/>
        </w:rPr>
        <w:t>3</w:t>
      </w:r>
      <w:r w:rsidR="00834229" w:rsidRPr="009D5851">
        <w:rPr>
          <w:lang w:eastAsia="en-GB"/>
        </w:rPr>
        <w:t xml:space="preserve"> However, the rollout of infrastructure needed to charge them is failing to keep pace. During Q4 2022, the ratio of new chargepoint installations to new plug-in car </w:t>
      </w:r>
      <w:r w:rsidR="00834229" w:rsidRPr="009D5851">
        <w:rPr>
          <w:color w:val="000000"/>
          <w:lang w:eastAsia="en-GB"/>
        </w:rPr>
        <w:t xml:space="preserve">registrations dropped to </w:t>
      </w:r>
      <w:r w:rsidRPr="009D5851">
        <w:rPr>
          <w:lang w:eastAsia="en-GB"/>
        </w:rPr>
        <w:t xml:space="preserve">one </w:t>
      </w:r>
      <w:r w:rsidR="00834229" w:rsidRPr="009D5851">
        <w:rPr>
          <w:lang w:eastAsia="en-GB"/>
        </w:rPr>
        <w:t>for every 6</w:t>
      </w:r>
      <w:r w:rsidR="007343E0">
        <w:rPr>
          <w:lang w:eastAsia="en-GB"/>
        </w:rPr>
        <w:t>2</w:t>
      </w:r>
      <w:r w:rsidR="00834229" w:rsidRPr="009D5851">
        <w:rPr>
          <w:lang w:eastAsia="en-GB"/>
        </w:rPr>
        <w:t xml:space="preserve"> – a significant fall compared with the same quarter last year, whe</w:t>
      </w:r>
      <w:r w:rsidRPr="009D5851">
        <w:rPr>
          <w:lang w:eastAsia="en-GB"/>
        </w:rPr>
        <w:t>n</w:t>
      </w:r>
      <w:r w:rsidR="00834229" w:rsidRPr="009D5851">
        <w:rPr>
          <w:lang w:eastAsia="en-GB"/>
        </w:rPr>
        <w:t xml:space="preserve"> the ratio was 1:42.</w:t>
      </w:r>
      <w:r w:rsidR="0035325F">
        <w:rPr>
          <w:vertAlign w:val="superscript"/>
          <w:lang w:eastAsia="en-GB"/>
        </w:rPr>
        <w:t>4</w:t>
      </w:r>
      <w:r w:rsidR="00834229" w:rsidRPr="009D5851">
        <w:rPr>
          <w:lang w:eastAsia="en-GB"/>
        </w:rPr>
        <w:t xml:space="preserve"> As a result, </w:t>
      </w:r>
      <w:r w:rsidR="009F1892" w:rsidRPr="009D5851">
        <w:rPr>
          <w:lang w:eastAsia="en-GB"/>
        </w:rPr>
        <w:t xml:space="preserve">in 2022, </w:t>
      </w:r>
      <w:r w:rsidR="00834229" w:rsidRPr="009D5851">
        <w:rPr>
          <w:lang w:eastAsia="en-GB"/>
        </w:rPr>
        <w:t>one standard public charger was installed for every 53 new plug-in cars registered, the weakest ratio since 2020.</w:t>
      </w:r>
      <w:r w:rsidR="0035325F">
        <w:rPr>
          <w:vertAlign w:val="superscript"/>
          <w:lang w:eastAsia="en-GB"/>
        </w:rPr>
        <w:t>5</w:t>
      </w:r>
      <w:r w:rsidR="00834229" w:rsidRPr="009D5851">
        <w:rPr>
          <w:lang w:eastAsia="en-GB"/>
        </w:rPr>
        <w:t xml:space="preserve"> </w:t>
      </w:r>
      <w:r w:rsidR="007A2BAE" w:rsidRPr="009D5851">
        <w:rPr>
          <w:lang w:eastAsia="en-GB"/>
        </w:rPr>
        <w:t>M</w:t>
      </w:r>
      <w:r w:rsidR="00834229" w:rsidRPr="009D5851">
        <w:rPr>
          <w:lang w:eastAsia="en-GB"/>
        </w:rPr>
        <w:t>andat</w:t>
      </w:r>
      <w:r w:rsidR="007A2BAE" w:rsidRPr="009D5851">
        <w:rPr>
          <w:lang w:eastAsia="en-GB"/>
        </w:rPr>
        <w:t>ing</w:t>
      </w:r>
      <w:r w:rsidR="00834229" w:rsidRPr="009D5851">
        <w:rPr>
          <w:lang w:eastAsia="en-GB"/>
        </w:rPr>
        <w:t xml:space="preserve"> rollout targets for infrastructure and regulating service standards would give drivers certainty they can </w:t>
      </w:r>
      <w:r w:rsidR="007A2BAE" w:rsidRPr="009D5851">
        <w:rPr>
          <w:lang w:eastAsia="en-GB"/>
        </w:rPr>
        <w:t xml:space="preserve">always </w:t>
      </w:r>
      <w:r w:rsidR="00834229" w:rsidRPr="009D5851">
        <w:rPr>
          <w:lang w:eastAsia="en-GB"/>
        </w:rPr>
        <w:t xml:space="preserve">find a </w:t>
      </w:r>
      <w:r w:rsidR="00834229" w:rsidRPr="009D5851">
        <w:rPr>
          <w:color w:val="000000" w:themeColor="text1"/>
          <w:lang w:eastAsia="en-GB"/>
        </w:rPr>
        <w:t>working, available charger. Infrastructure</w:t>
      </w:r>
      <w:r w:rsidR="00834229" w:rsidRPr="00834229">
        <w:rPr>
          <w:color w:val="000000" w:themeColor="text1"/>
          <w:lang w:eastAsia="en-GB"/>
        </w:rPr>
        <w:t xml:space="preserve"> must be built ahead of demand else poor </w:t>
      </w:r>
      <w:r w:rsidR="00834229" w:rsidRPr="00834229">
        <w:rPr>
          <w:lang w:eastAsia="en-GB"/>
        </w:rPr>
        <w:t>provision risks delaying the electric transition.</w:t>
      </w:r>
    </w:p>
    <w:p w14:paraId="73767FF2" w14:textId="1193F16F" w:rsidR="00834229" w:rsidRDefault="00834229" w:rsidP="00834229">
      <w:pPr>
        <w:jc w:val="both"/>
        <w:rPr>
          <w:lang w:eastAsia="en-GB"/>
        </w:rPr>
      </w:pPr>
      <w:r w:rsidRPr="00834229">
        <w:rPr>
          <w:lang w:eastAsia="en-GB"/>
        </w:rPr>
        <w:t xml:space="preserve">More immediately, the upcoming Budget is an opportunity to implement measures that support the transition. Reducing VAT on public chargepoint use from 20% to 5% in line with home charging would </w:t>
      </w:r>
      <w:r w:rsidRPr="00834229">
        <w:rPr>
          <w:lang w:val="en-US"/>
        </w:rPr>
        <w:t>ensure more affordable access</w:t>
      </w:r>
      <w:r>
        <w:rPr>
          <w:lang w:val="en-US"/>
        </w:rPr>
        <w:t xml:space="preserve"> for all and underpin a </w:t>
      </w:r>
      <w:r w:rsidR="009F1892">
        <w:rPr>
          <w:lang w:val="en-US"/>
        </w:rPr>
        <w:t xml:space="preserve">fair </w:t>
      </w:r>
      <w:r>
        <w:rPr>
          <w:lang w:val="en-US"/>
        </w:rPr>
        <w:t>net zero transition.</w:t>
      </w:r>
      <w:r>
        <w:rPr>
          <w:lang w:eastAsia="en-GB"/>
        </w:rPr>
        <w:t xml:space="preserve"> Government should also review proposals to graft a Vehicle Excise Duty regime designed for fossil fuel cars onto zero emission vehicles (ZEVs). The higher production costs associated with electric vehicles means that currently more than half of all available BEVs would be subject to the expensive car supplement due to apply to ZEVs from 2025.</w:t>
      </w:r>
      <w:r w:rsidR="0035325F">
        <w:rPr>
          <w:vertAlign w:val="superscript"/>
          <w:lang w:eastAsia="en-GB"/>
        </w:rPr>
        <w:t>6</w:t>
      </w:r>
      <w:r>
        <w:rPr>
          <w:lang w:eastAsia="en-GB"/>
        </w:rPr>
        <w:t xml:space="preserve"> While it is right that all drivers pay their fair share, existing plans would unfairly penalise those making the switch, and risk disincentivising the market at the time when EV uptake </w:t>
      </w:r>
      <w:r>
        <w:rPr>
          <w:lang w:eastAsia="en-GB"/>
        </w:rPr>
        <w:lastRenderedPageBreak/>
        <w:t>should be encouraged. Government should also tackle other fiscal blocks to uptake by raising recommended business mileage rates.</w:t>
      </w:r>
    </w:p>
    <w:p w14:paraId="31A212A6" w14:textId="7407475F" w:rsidR="00834229" w:rsidRPr="00834229" w:rsidRDefault="00834229" w:rsidP="00834229">
      <w:pPr>
        <w:jc w:val="both"/>
        <w:rPr>
          <w:lang w:eastAsia="en-GB"/>
        </w:rPr>
      </w:pPr>
      <w:r w:rsidRPr="009F1892">
        <w:rPr>
          <w:b/>
          <w:bCs w:val="0"/>
          <w:lang w:eastAsia="en-GB"/>
        </w:rPr>
        <w:t>Mike Hawes, SMMT Chief Executive,</w:t>
      </w:r>
      <w:r>
        <w:rPr>
          <w:lang w:eastAsia="en-GB"/>
        </w:rPr>
        <w:t xml:space="preserve"> said</w:t>
      </w:r>
      <w:r w:rsidR="00EC2A6A">
        <w:rPr>
          <w:lang w:eastAsia="en-GB"/>
        </w:rPr>
        <w:t>,</w:t>
      </w:r>
      <w:r>
        <w:rPr>
          <w:lang w:eastAsia="en-GB"/>
        </w:rPr>
        <w:t xml:space="preserve"> “The automotive industry is already delivering growth</w:t>
      </w:r>
      <w:r w:rsidR="00EC2A6A">
        <w:rPr>
          <w:lang w:eastAsia="en-GB"/>
        </w:rPr>
        <w:t xml:space="preserve"> </w:t>
      </w:r>
      <w:r>
        <w:rPr>
          <w:lang w:eastAsia="en-GB"/>
        </w:rPr>
        <w:t xml:space="preserve">that bucks the national </w:t>
      </w:r>
      <w:r w:rsidRPr="00834229">
        <w:rPr>
          <w:lang w:eastAsia="en-GB"/>
        </w:rPr>
        <w:t xml:space="preserve">trend and is poised, with the right framework, to accelerate the decarbonisation of the UK economy. The industry and market </w:t>
      </w:r>
      <w:r w:rsidR="007A2BAE">
        <w:rPr>
          <w:lang w:eastAsia="en-GB"/>
        </w:rPr>
        <w:t>are</w:t>
      </w:r>
      <w:r w:rsidRPr="00834229">
        <w:rPr>
          <w:lang w:eastAsia="en-GB"/>
        </w:rPr>
        <w:t xml:space="preserve"> in transition, but fragile due to a challenging economic outlook, rising living costs and consumer anxiety over new technology. We look to a Budget that will reaffirm the commitment to net zero and provide measures that drive green growth for the sector and the nation.” </w:t>
      </w:r>
    </w:p>
    <w:p w14:paraId="6CABC99A" w14:textId="59329EA6" w:rsidR="00AE1723" w:rsidRDefault="00834229" w:rsidP="00834229">
      <w:pPr>
        <w:jc w:val="both"/>
        <w:rPr>
          <w:lang w:eastAsia="en-GB"/>
        </w:rPr>
      </w:pPr>
      <w:r w:rsidRPr="00834229">
        <w:rPr>
          <w:lang w:eastAsia="en-GB"/>
        </w:rPr>
        <w:t>The strong start to the year is mirrored in the latest market outlook, which anticipates 1.7</w:t>
      </w:r>
      <w:r w:rsidR="00792BEE">
        <w:rPr>
          <w:lang w:eastAsia="en-GB"/>
        </w:rPr>
        <w:t>9</w:t>
      </w:r>
      <w:r w:rsidRPr="00834229">
        <w:rPr>
          <w:lang w:eastAsia="en-GB"/>
        </w:rPr>
        <w:t xml:space="preserve"> million new car registrations in 2023, a</w:t>
      </w:r>
      <w:r w:rsidR="00792BEE">
        <w:rPr>
          <w:lang w:eastAsia="en-GB"/>
        </w:rPr>
        <w:t>n</w:t>
      </w:r>
      <w:r w:rsidRPr="00834229">
        <w:rPr>
          <w:lang w:eastAsia="en-GB"/>
        </w:rPr>
        <w:t xml:space="preserve"> 1</w:t>
      </w:r>
      <w:r w:rsidR="00792BEE">
        <w:rPr>
          <w:lang w:eastAsia="en-GB"/>
        </w:rPr>
        <w:t>1.1</w:t>
      </w:r>
      <w:r w:rsidRPr="00834229">
        <w:rPr>
          <w:lang w:eastAsia="en-GB"/>
        </w:rPr>
        <w:t>% increase on the past year but still well below 2019 levels. This also represents a -</w:t>
      </w:r>
      <w:r w:rsidR="00792BEE">
        <w:rPr>
          <w:lang w:eastAsia="en-GB"/>
        </w:rPr>
        <w:t>0.8</w:t>
      </w:r>
      <w:r w:rsidRPr="00834229">
        <w:rPr>
          <w:lang w:eastAsia="en-GB"/>
        </w:rPr>
        <w:t>% reduction on October’s outlook, against a weak economic backdrop. However, a further 9.</w:t>
      </w:r>
      <w:r w:rsidR="00792BEE">
        <w:rPr>
          <w:lang w:eastAsia="en-GB"/>
        </w:rPr>
        <w:t>3</w:t>
      </w:r>
      <w:r w:rsidRPr="00834229">
        <w:rPr>
          <w:lang w:eastAsia="en-GB"/>
        </w:rPr>
        <w:t>% increase is expected next year, with 1.96 million new cars expected to join the road in 2024.</w:t>
      </w:r>
      <w:r>
        <w:rPr>
          <w:lang w:eastAsia="en-GB"/>
        </w:rPr>
        <w:t xml:space="preserve"> </w:t>
      </w:r>
    </w:p>
    <w:p w14:paraId="424EA386" w14:textId="5DE414BC" w:rsidR="009D5851" w:rsidRDefault="009D5851" w:rsidP="00834229">
      <w:pPr>
        <w:jc w:val="both"/>
        <w:rPr>
          <w:lang w:eastAsia="en-GB"/>
        </w:rPr>
      </w:pPr>
    </w:p>
    <w:p w14:paraId="11FC4DF6" w14:textId="4632267B" w:rsidR="009D5851" w:rsidRDefault="009D5851" w:rsidP="009D5851">
      <w:pPr>
        <w:jc w:val="center"/>
        <w:rPr>
          <w:lang w:eastAsia="en-GB"/>
        </w:rPr>
      </w:pPr>
      <w:r>
        <w:rPr>
          <w:noProof/>
          <w:lang w:eastAsia="en-GB"/>
        </w:rPr>
        <w:drawing>
          <wp:inline distT="0" distB="0" distL="0" distR="0" wp14:anchorId="3C020390" wp14:editId="3304475A">
            <wp:extent cx="4931674" cy="5788164"/>
            <wp:effectExtent l="0" t="0" r="2540" b="3175"/>
            <wp:docPr id="6" name="Picture 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abl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31674" cy="5788164"/>
                    </a:xfrm>
                    <a:prstGeom prst="rect">
                      <a:avLst/>
                    </a:prstGeom>
                  </pic:spPr>
                </pic:pic>
              </a:graphicData>
            </a:graphic>
          </wp:inline>
        </w:drawing>
      </w:r>
    </w:p>
    <w:p w14:paraId="0CFB0DE9" w14:textId="6771B23D" w:rsidR="009D5851" w:rsidRDefault="009D5851" w:rsidP="009D5851">
      <w:pPr>
        <w:jc w:val="center"/>
        <w:rPr>
          <w:lang w:eastAsia="en-GB"/>
        </w:rPr>
      </w:pPr>
      <w:r>
        <w:rPr>
          <w:noProof/>
          <w:lang w:eastAsia="en-GB"/>
        </w:rPr>
        <w:lastRenderedPageBreak/>
        <w:drawing>
          <wp:inline distT="0" distB="0" distL="0" distR="0" wp14:anchorId="1DD754E7" wp14:editId="23F0C992">
            <wp:extent cx="4980442" cy="3441199"/>
            <wp:effectExtent l="0" t="0" r="0" b="6985"/>
            <wp:docPr id="7" name="Picture 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80442" cy="3441199"/>
                    </a:xfrm>
                    <a:prstGeom prst="rect">
                      <a:avLst/>
                    </a:prstGeom>
                  </pic:spPr>
                </pic:pic>
              </a:graphicData>
            </a:graphic>
          </wp:inline>
        </w:drawing>
      </w:r>
    </w:p>
    <w:p w14:paraId="0FCFC3F3" w14:textId="5317E234" w:rsidR="009D5851" w:rsidRDefault="009D5851" w:rsidP="009D5851">
      <w:pPr>
        <w:jc w:val="center"/>
        <w:rPr>
          <w:lang w:eastAsia="en-GB"/>
        </w:rPr>
      </w:pPr>
      <w:r>
        <w:rPr>
          <w:noProof/>
          <w:lang w:eastAsia="en-GB"/>
        </w:rPr>
        <w:drawing>
          <wp:inline distT="0" distB="0" distL="0" distR="0" wp14:anchorId="26AC5F3C" wp14:editId="29844A01">
            <wp:extent cx="5731510" cy="2679700"/>
            <wp:effectExtent l="0" t="0" r="2540" b="6350"/>
            <wp:docPr id="8" name="Picture 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abl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2679700"/>
                    </a:xfrm>
                    <a:prstGeom prst="rect">
                      <a:avLst/>
                    </a:prstGeom>
                  </pic:spPr>
                </pic:pic>
              </a:graphicData>
            </a:graphic>
          </wp:inline>
        </w:drawing>
      </w:r>
    </w:p>
    <w:p w14:paraId="564DB690" w14:textId="7E618BB3" w:rsidR="009D5851" w:rsidRDefault="009D5851" w:rsidP="009D5851">
      <w:pPr>
        <w:jc w:val="center"/>
        <w:rPr>
          <w:lang w:eastAsia="en-GB"/>
        </w:rPr>
      </w:pPr>
    </w:p>
    <w:p w14:paraId="7F39469D" w14:textId="508207E2" w:rsidR="009D5851" w:rsidRDefault="009D5851" w:rsidP="009D5851">
      <w:pPr>
        <w:rPr>
          <w:lang w:eastAsia="en-GB"/>
        </w:rPr>
      </w:pPr>
      <w:r>
        <w:rPr>
          <w:noProof/>
          <w:lang w:eastAsia="en-GB"/>
        </w:rPr>
        <w:lastRenderedPageBreak/>
        <w:drawing>
          <wp:inline distT="0" distB="0" distL="0" distR="0" wp14:anchorId="25F93F32" wp14:editId="42B262B8">
            <wp:extent cx="5731510" cy="4093210"/>
            <wp:effectExtent l="0" t="0" r="2540" b="2540"/>
            <wp:docPr id="9" name="Picture 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ba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4093210"/>
                    </a:xfrm>
                    <a:prstGeom prst="rect">
                      <a:avLst/>
                    </a:prstGeom>
                  </pic:spPr>
                </pic:pic>
              </a:graphicData>
            </a:graphic>
          </wp:inline>
        </w:drawing>
      </w:r>
    </w:p>
    <w:p w14:paraId="2775372E" w14:textId="632027EB" w:rsidR="009D5851" w:rsidRDefault="007343E0" w:rsidP="007343E0">
      <w:pPr>
        <w:jc w:val="center"/>
        <w:rPr>
          <w:lang w:eastAsia="en-GB"/>
        </w:rPr>
      </w:pPr>
      <w:r>
        <w:rPr>
          <w:noProof/>
          <w:lang w:eastAsia="en-GB"/>
        </w:rPr>
        <w:drawing>
          <wp:inline distT="0" distB="0" distL="0" distR="0" wp14:anchorId="63A85A41" wp14:editId="3739085A">
            <wp:extent cx="3657607" cy="1822708"/>
            <wp:effectExtent l="0" t="0" r="0" b="6350"/>
            <wp:docPr id="16" name="Picture 1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applicati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57607" cy="1822708"/>
                    </a:xfrm>
                    <a:prstGeom prst="rect">
                      <a:avLst/>
                    </a:prstGeom>
                  </pic:spPr>
                </pic:pic>
              </a:graphicData>
            </a:graphic>
          </wp:inline>
        </w:drawing>
      </w:r>
    </w:p>
    <w:p w14:paraId="68F21843" w14:textId="0A73FF13" w:rsidR="009D5851" w:rsidRDefault="009D5851" w:rsidP="009D5851">
      <w:pPr>
        <w:jc w:val="center"/>
        <w:rPr>
          <w:lang w:eastAsia="en-GB"/>
        </w:rPr>
      </w:pPr>
      <w:r>
        <w:rPr>
          <w:noProof/>
          <w:lang w:eastAsia="en-GB"/>
        </w:rPr>
        <w:lastRenderedPageBreak/>
        <w:drawing>
          <wp:inline distT="0" distB="0" distL="0" distR="0" wp14:anchorId="4C2AE1CE" wp14:editId="30E6345F">
            <wp:extent cx="5731510" cy="5721350"/>
            <wp:effectExtent l="0" t="0" r="2540" b="0"/>
            <wp:docPr id="10" name="Pictur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5721350"/>
                    </a:xfrm>
                    <a:prstGeom prst="rect">
                      <a:avLst/>
                    </a:prstGeom>
                  </pic:spPr>
                </pic:pic>
              </a:graphicData>
            </a:graphic>
          </wp:inline>
        </w:drawing>
      </w:r>
    </w:p>
    <w:p w14:paraId="1F0D3839" w14:textId="686E7CE6" w:rsidR="009D5851" w:rsidRPr="00834229" w:rsidRDefault="009D5851" w:rsidP="009D5851">
      <w:pPr>
        <w:rPr>
          <w:lang w:eastAsia="en-GB"/>
        </w:rPr>
      </w:pPr>
      <w:r>
        <w:rPr>
          <w:noProof/>
          <w:lang w:eastAsia="en-GB"/>
        </w:rPr>
        <w:lastRenderedPageBreak/>
        <w:drawing>
          <wp:inline distT="0" distB="0" distL="0" distR="0" wp14:anchorId="71BA7A9D" wp14:editId="35FDF359">
            <wp:extent cx="5731510" cy="5728335"/>
            <wp:effectExtent l="0" t="0" r="2540" b="571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5728335"/>
                    </a:xfrm>
                    <a:prstGeom prst="rect">
                      <a:avLst/>
                    </a:prstGeom>
                  </pic:spPr>
                </pic:pic>
              </a:graphicData>
            </a:graphic>
          </wp:inline>
        </w:drawing>
      </w:r>
    </w:p>
    <w:p w14:paraId="6DA4EEA7" w14:textId="77777777" w:rsidR="007F452D" w:rsidRDefault="007F452D" w:rsidP="005327F8">
      <w:pPr>
        <w:spacing w:after="0" w:line="240" w:lineRule="auto"/>
        <w:jc w:val="both"/>
        <w:rPr>
          <w:rFonts w:eastAsia="Calibri"/>
          <w:bCs w:val="0"/>
          <w:sz w:val="22"/>
          <w:szCs w:val="22"/>
          <w:lang w:eastAsia="en-GB"/>
        </w:rPr>
      </w:pPr>
    </w:p>
    <w:p w14:paraId="787A4A47" w14:textId="48F96FF0" w:rsidR="005327F8" w:rsidRDefault="005327F8" w:rsidP="005327F8">
      <w:pPr>
        <w:spacing w:after="0" w:line="276" w:lineRule="auto"/>
        <w:jc w:val="both"/>
        <w:rPr>
          <w:rFonts w:eastAsia="Calibri"/>
          <w:b/>
          <w:bCs w:val="0"/>
          <w:color w:val="1074CB"/>
          <w:sz w:val="16"/>
          <w:szCs w:val="16"/>
          <w:u w:val="single"/>
        </w:rPr>
      </w:pPr>
      <w:r>
        <w:rPr>
          <w:rFonts w:eastAsia="Calibri"/>
          <w:b/>
          <w:bCs w:val="0"/>
          <w:color w:val="1074CB"/>
          <w:sz w:val="16"/>
          <w:szCs w:val="16"/>
          <w:u w:val="single"/>
        </w:rPr>
        <w:t>Notes to editors</w:t>
      </w:r>
    </w:p>
    <w:p w14:paraId="24483470" w14:textId="46945BAF" w:rsidR="00834229" w:rsidRPr="00834229" w:rsidRDefault="00834229" w:rsidP="005327F8">
      <w:pPr>
        <w:spacing w:after="0" w:line="276" w:lineRule="auto"/>
        <w:jc w:val="both"/>
        <w:rPr>
          <w:rFonts w:eastAsia="Calibri"/>
          <w:color w:val="1074CB"/>
          <w:sz w:val="16"/>
          <w:szCs w:val="16"/>
        </w:rPr>
      </w:pPr>
      <w:r w:rsidRPr="00834229">
        <w:rPr>
          <w:rFonts w:eastAsia="Calibri"/>
          <w:color w:val="1074CB"/>
          <w:sz w:val="16"/>
          <w:szCs w:val="16"/>
        </w:rPr>
        <w:t>1</w:t>
      </w:r>
      <w:r>
        <w:rPr>
          <w:rFonts w:eastAsia="Calibri"/>
          <w:color w:val="1074CB"/>
          <w:sz w:val="16"/>
          <w:szCs w:val="16"/>
        </w:rPr>
        <w:t xml:space="preserve"> BEV market share in 2022: 16.6%</w:t>
      </w:r>
    </w:p>
    <w:p w14:paraId="2DDD83AD" w14:textId="7A6ADF1D" w:rsidR="009D5851" w:rsidRDefault="009D5851" w:rsidP="005327F8">
      <w:pPr>
        <w:spacing w:after="0" w:line="276" w:lineRule="auto"/>
        <w:jc w:val="both"/>
        <w:rPr>
          <w:rFonts w:eastAsia="Calibri"/>
          <w:color w:val="1074CB"/>
          <w:sz w:val="16"/>
          <w:szCs w:val="16"/>
        </w:rPr>
      </w:pPr>
      <w:r>
        <w:rPr>
          <w:rFonts w:eastAsia="Calibri"/>
          <w:color w:val="1074CB"/>
          <w:sz w:val="16"/>
          <w:szCs w:val="16"/>
        </w:rPr>
        <w:t>2 PHEV market share in January 2022: 7.9%</w:t>
      </w:r>
    </w:p>
    <w:p w14:paraId="3FC90425" w14:textId="5B4B193D" w:rsidR="00834229" w:rsidRPr="00834229" w:rsidRDefault="009D5851" w:rsidP="005327F8">
      <w:pPr>
        <w:spacing w:after="0" w:line="276" w:lineRule="auto"/>
        <w:jc w:val="both"/>
        <w:rPr>
          <w:rFonts w:eastAsia="Calibri"/>
          <w:color w:val="1074CB"/>
          <w:sz w:val="16"/>
          <w:szCs w:val="16"/>
        </w:rPr>
      </w:pPr>
      <w:r>
        <w:rPr>
          <w:rFonts w:eastAsia="Calibri"/>
          <w:color w:val="1074CB"/>
          <w:sz w:val="16"/>
          <w:szCs w:val="16"/>
        </w:rPr>
        <w:t>3</w:t>
      </w:r>
      <w:r w:rsidR="00834229">
        <w:rPr>
          <w:rFonts w:eastAsia="Calibri"/>
          <w:color w:val="1074CB"/>
          <w:sz w:val="16"/>
          <w:szCs w:val="16"/>
        </w:rPr>
        <w:t xml:space="preserve"> SMMT market outlook, published January 2023</w:t>
      </w:r>
    </w:p>
    <w:p w14:paraId="2F29BBCF" w14:textId="6B141FF6" w:rsidR="00834229" w:rsidRPr="00834229" w:rsidRDefault="009D5851" w:rsidP="005327F8">
      <w:pPr>
        <w:spacing w:after="0" w:line="276" w:lineRule="auto"/>
        <w:jc w:val="both"/>
        <w:rPr>
          <w:rFonts w:eastAsia="Calibri"/>
          <w:color w:val="1074CB"/>
          <w:sz w:val="16"/>
          <w:szCs w:val="16"/>
        </w:rPr>
      </w:pPr>
      <w:r>
        <w:rPr>
          <w:rFonts w:eastAsia="Calibri"/>
          <w:color w:val="1074CB"/>
          <w:sz w:val="16"/>
          <w:szCs w:val="16"/>
        </w:rPr>
        <w:t>4</w:t>
      </w:r>
      <w:r w:rsidR="00834229">
        <w:rPr>
          <w:rFonts w:eastAsia="Calibri"/>
          <w:color w:val="1074CB"/>
          <w:sz w:val="16"/>
          <w:szCs w:val="16"/>
        </w:rPr>
        <w:t xml:space="preserve"> Based on SMMT analysis of plug-in car registrations and DfT EV chargepoint figures</w:t>
      </w:r>
    </w:p>
    <w:p w14:paraId="5E3B82C8" w14:textId="7E1B024C" w:rsidR="00834229" w:rsidRDefault="009D5851" w:rsidP="005327F8">
      <w:pPr>
        <w:spacing w:after="0" w:line="276" w:lineRule="auto"/>
        <w:jc w:val="both"/>
        <w:rPr>
          <w:rFonts w:eastAsia="Calibri"/>
          <w:color w:val="1074CB"/>
          <w:sz w:val="16"/>
          <w:szCs w:val="16"/>
        </w:rPr>
      </w:pPr>
      <w:r>
        <w:rPr>
          <w:rFonts w:eastAsia="Calibri"/>
          <w:color w:val="1074CB"/>
          <w:sz w:val="16"/>
          <w:szCs w:val="16"/>
        </w:rPr>
        <w:t>5</w:t>
      </w:r>
      <w:r w:rsidR="00834229">
        <w:rPr>
          <w:rFonts w:eastAsia="Calibri"/>
          <w:color w:val="1074CB"/>
          <w:sz w:val="16"/>
          <w:szCs w:val="16"/>
        </w:rPr>
        <w:t xml:space="preserve"> 2020 ratio – 1:54</w:t>
      </w:r>
    </w:p>
    <w:p w14:paraId="4C172EF1" w14:textId="6D340708" w:rsidR="00834229" w:rsidRPr="00834229" w:rsidRDefault="009D5851" w:rsidP="005327F8">
      <w:pPr>
        <w:spacing w:after="0" w:line="276" w:lineRule="auto"/>
        <w:jc w:val="both"/>
        <w:rPr>
          <w:rFonts w:eastAsia="Calibri"/>
          <w:color w:val="1074CB"/>
          <w:sz w:val="16"/>
          <w:szCs w:val="16"/>
        </w:rPr>
      </w:pPr>
      <w:r>
        <w:rPr>
          <w:rFonts w:eastAsia="Calibri"/>
          <w:color w:val="1074CB"/>
          <w:sz w:val="16"/>
          <w:szCs w:val="16"/>
        </w:rPr>
        <w:t>6</w:t>
      </w:r>
      <w:r w:rsidR="00834229">
        <w:rPr>
          <w:rFonts w:eastAsia="Calibri"/>
          <w:color w:val="1074CB"/>
          <w:sz w:val="16"/>
          <w:szCs w:val="16"/>
        </w:rPr>
        <w:t xml:space="preserve"> Based on SMMT analysis of available BEV models and </w:t>
      </w:r>
      <w:r w:rsidR="00C14D65">
        <w:rPr>
          <w:rFonts w:eastAsia="Calibri"/>
          <w:color w:val="1074CB"/>
          <w:sz w:val="16"/>
          <w:szCs w:val="16"/>
        </w:rPr>
        <w:t>base vehicle prices</w:t>
      </w:r>
    </w:p>
    <w:p w14:paraId="1F0546C4" w14:textId="77777777" w:rsidR="005327F8" w:rsidRDefault="005327F8" w:rsidP="005327F8">
      <w:pPr>
        <w:spacing w:after="0" w:line="276" w:lineRule="auto"/>
        <w:jc w:val="both"/>
        <w:rPr>
          <w:rFonts w:eastAsia="Calibri"/>
          <w:bCs w:val="0"/>
          <w:color w:val="1074CB"/>
          <w:sz w:val="16"/>
          <w:szCs w:val="16"/>
        </w:rPr>
      </w:pPr>
    </w:p>
    <w:p w14:paraId="28788B9F" w14:textId="0C2B0CB8" w:rsidR="005327F8" w:rsidRDefault="005327F8" w:rsidP="005327F8">
      <w:pPr>
        <w:spacing w:after="0" w:line="240" w:lineRule="auto"/>
        <w:rPr>
          <w:rFonts w:eastAsia="Calibri"/>
          <w:b/>
          <w:bCs w:val="0"/>
          <w:color w:val="1074CB"/>
          <w:sz w:val="16"/>
          <w:szCs w:val="16"/>
        </w:rPr>
      </w:pPr>
      <w:r>
        <w:rPr>
          <w:rFonts w:eastAsia="Calibri"/>
          <w:b/>
          <w:bCs w:val="0"/>
          <w:color w:val="1074CB"/>
          <w:sz w:val="16"/>
          <w:szCs w:val="16"/>
        </w:rPr>
        <w:t>About SMMT and the UK automotive industry</w:t>
      </w:r>
    </w:p>
    <w:p w14:paraId="6A939461" w14:textId="3AB04D84" w:rsidR="007409C0" w:rsidRDefault="007409C0" w:rsidP="005327F8">
      <w:pPr>
        <w:spacing w:after="0" w:line="240" w:lineRule="auto"/>
        <w:rPr>
          <w:rFonts w:eastAsia="Calibri"/>
          <w:b/>
          <w:bCs w:val="0"/>
          <w:color w:val="1074CB"/>
          <w:sz w:val="16"/>
          <w:szCs w:val="16"/>
        </w:rPr>
      </w:pPr>
    </w:p>
    <w:p w14:paraId="7E03317C" w14:textId="77777777" w:rsidR="007409C0" w:rsidRPr="00E325DE" w:rsidRDefault="007409C0" w:rsidP="007409C0">
      <w:pPr>
        <w:spacing w:after="0" w:line="276" w:lineRule="auto"/>
        <w:jc w:val="both"/>
        <w:rPr>
          <w:rFonts w:eastAsia="Calibri"/>
          <w:bCs w:val="0"/>
          <w:color w:val="1074CB"/>
          <w:sz w:val="16"/>
          <w:szCs w:val="16"/>
        </w:rPr>
      </w:pPr>
      <w:r w:rsidRPr="00E325DE">
        <w:rPr>
          <w:rFonts w:eastAsia="Calibri"/>
          <w:color w:val="1074CB"/>
          <w:sz w:val="16"/>
          <w:szCs w:val="16"/>
        </w:rPr>
        <w:t xml:space="preserve">The Society of Motor Manufacturers and Traders (SMMT) is one of the largest and most influential trade associations in the UK. It supports the interests of the UK automotive industry at home and abroad, promoting the industry to government, stakeholders and the media. </w:t>
      </w:r>
    </w:p>
    <w:p w14:paraId="189A9999" w14:textId="77777777" w:rsidR="007409C0" w:rsidRDefault="007409C0" w:rsidP="005327F8">
      <w:pPr>
        <w:spacing w:after="0" w:line="240" w:lineRule="auto"/>
        <w:rPr>
          <w:rFonts w:eastAsia="Calibri"/>
          <w:b/>
          <w:bCs w:val="0"/>
          <w:color w:val="1074CB"/>
          <w:sz w:val="16"/>
          <w:szCs w:val="16"/>
        </w:rPr>
      </w:pPr>
    </w:p>
    <w:p w14:paraId="5F6C6F87" w14:textId="77777777" w:rsidR="005327F8" w:rsidRDefault="005327F8" w:rsidP="005327F8">
      <w:pPr>
        <w:spacing w:after="0" w:line="276" w:lineRule="auto"/>
        <w:jc w:val="both"/>
        <w:rPr>
          <w:rFonts w:eastAsia="Calibri"/>
          <w:bCs w:val="0"/>
          <w:color w:val="1074CB"/>
          <w:sz w:val="16"/>
          <w:szCs w:val="16"/>
        </w:rPr>
      </w:pPr>
      <w:r>
        <w:rPr>
          <w:rFonts w:eastAsia="Calibri"/>
          <w:bCs w:val="0"/>
          <w:color w:val="1074CB"/>
          <w:sz w:val="16"/>
          <w:szCs w:val="16"/>
        </w:rPr>
        <w:t xml:space="preserve">The automotive industry is a vital part of the UK economy and integral to supporting the delivery of the agendas for levelling up, net zero, advancing global Britain, and the plan for growth. </w:t>
      </w:r>
    </w:p>
    <w:p w14:paraId="5DFF6C9A" w14:textId="77777777" w:rsidR="005327F8" w:rsidRDefault="005327F8" w:rsidP="005327F8">
      <w:pPr>
        <w:spacing w:after="0" w:line="276" w:lineRule="auto"/>
        <w:jc w:val="both"/>
        <w:rPr>
          <w:rFonts w:eastAsia="Calibri"/>
          <w:bCs w:val="0"/>
          <w:color w:val="1074CB"/>
          <w:sz w:val="16"/>
          <w:szCs w:val="16"/>
        </w:rPr>
      </w:pPr>
    </w:p>
    <w:p w14:paraId="2AF632A1" w14:textId="77777777" w:rsidR="005327F8" w:rsidRDefault="005327F8" w:rsidP="005327F8">
      <w:pPr>
        <w:spacing w:after="0" w:line="276" w:lineRule="auto"/>
        <w:jc w:val="both"/>
        <w:rPr>
          <w:rFonts w:eastAsia="Calibri"/>
          <w:bCs w:val="0"/>
          <w:color w:val="1074CB"/>
          <w:sz w:val="16"/>
          <w:szCs w:val="16"/>
        </w:rPr>
      </w:pPr>
      <w:r>
        <w:rPr>
          <w:rFonts w:eastAsia="Calibri"/>
          <w:bCs w:val="0"/>
          <w:color w:val="1074CB"/>
          <w:sz w:val="16"/>
          <w:szCs w:val="16"/>
        </w:rPr>
        <w:t xml:space="preserve">Automotive-related manufacturing contributes £67 billion turnover and £14 billion value added to the UK economy, and typically invest around £3 billion each year in R&amp;D. With more than 182,000 people employed in manufacturing and some 780,000 in total </w:t>
      </w:r>
      <w:r>
        <w:rPr>
          <w:rFonts w:eastAsia="Calibri"/>
          <w:bCs w:val="0"/>
          <w:color w:val="1074CB"/>
          <w:sz w:val="16"/>
          <w:szCs w:val="16"/>
        </w:rPr>
        <w:lastRenderedPageBreak/>
        <w:t xml:space="preserve">across the wider automotive industry, we account for 10% of total UK goods exports with more than 150 countries importing UK produced vehicles, generating £77 billion of trade. </w:t>
      </w:r>
    </w:p>
    <w:p w14:paraId="4201066E" w14:textId="77777777" w:rsidR="005327F8" w:rsidRDefault="005327F8" w:rsidP="005327F8">
      <w:pPr>
        <w:spacing w:after="0" w:line="276" w:lineRule="auto"/>
        <w:jc w:val="both"/>
        <w:rPr>
          <w:rFonts w:eastAsia="Calibri"/>
          <w:bCs w:val="0"/>
          <w:color w:val="1074CB"/>
          <w:sz w:val="16"/>
          <w:szCs w:val="16"/>
        </w:rPr>
      </w:pPr>
    </w:p>
    <w:p w14:paraId="3C608FCA" w14:textId="77777777" w:rsidR="005327F8" w:rsidRDefault="005327F8" w:rsidP="005327F8">
      <w:pPr>
        <w:spacing w:after="0" w:line="276" w:lineRule="auto"/>
        <w:jc w:val="both"/>
        <w:rPr>
          <w:rFonts w:eastAsia="Calibri"/>
          <w:bCs w:val="0"/>
          <w:color w:val="1074CB"/>
          <w:sz w:val="16"/>
          <w:szCs w:val="16"/>
        </w:rPr>
      </w:pPr>
      <w:r>
        <w:rPr>
          <w:rFonts w:eastAsia="Calibri"/>
          <w:bCs w:val="0"/>
          <w:color w:val="1074CB"/>
          <w:sz w:val="16"/>
          <w:szCs w:val="16"/>
        </w:rPr>
        <w:t>More than 25 manufacturers build over 70 models of vehicles in the UK, plus an array of specialist small volume manufacturers, supported by some 5,000 supply chain businesses and some of the world's most skilled engineers. Many of these jobs are outside London and the Southeast, with wages that are around 14% higher than the UK average. The automotive sector also supports jobs in other key sectors – including advertising, finance and logistics.</w:t>
      </w:r>
    </w:p>
    <w:p w14:paraId="5F790C73" w14:textId="77777777" w:rsidR="005327F8" w:rsidRDefault="005327F8" w:rsidP="005327F8">
      <w:pPr>
        <w:spacing w:after="0" w:line="276" w:lineRule="auto"/>
        <w:jc w:val="both"/>
        <w:rPr>
          <w:rFonts w:eastAsia="Calibri"/>
          <w:bCs w:val="0"/>
          <w:color w:val="1074CB"/>
          <w:sz w:val="16"/>
          <w:szCs w:val="16"/>
        </w:rPr>
      </w:pPr>
    </w:p>
    <w:p w14:paraId="41DF9056" w14:textId="77777777" w:rsidR="005327F8" w:rsidRDefault="005327F8" w:rsidP="005327F8">
      <w:pPr>
        <w:autoSpaceDE w:val="0"/>
        <w:autoSpaceDN w:val="0"/>
        <w:spacing w:after="0" w:line="276" w:lineRule="auto"/>
        <w:jc w:val="both"/>
        <w:rPr>
          <w:rFonts w:eastAsia="Calibri"/>
          <w:bCs w:val="0"/>
          <w:color w:val="1074CB"/>
          <w:sz w:val="16"/>
          <w:szCs w:val="16"/>
        </w:rPr>
      </w:pPr>
      <w:r>
        <w:rPr>
          <w:rFonts w:eastAsia="Calibri"/>
          <w:bCs w:val="0"/>
          <w:color w:val="1074CB"/>
          <w:sz w:val="16"/>
          <w:szCs w:val="16"/>
        </w:rPr>
        <w:t xml:space="preserve">More detail on UK automotive available in SMMT's Motor Industry Facts publication at </w:t>
      </w:r>
      <w:hyperlink r:id="rId14" w:history="1">
        <w:r>
          <w:rPr>
            <w:rStyle w:val="Hyperlink"/>
            <w:rFonts w:eastAsia="Calibri"/>
            <w:bCs w:val="0"/>
            <w:color w:val="0563C1"/>
            <w:sz w:val="16"/>
            <w:szCs w:val="16"/>
          </w:rPr>
          <w:t>www.smmt.co.uk/reports/smmt-motor-industry-facts/</w:t>
        </w:r>
      </w:hyperlink>
      <w:r>
        <w:rPr>
          <w:rFonts w:eastAsia="Calibri"/>
          <w:bCs w:val="0"/>
        </w:rPr>
        <w:t xml:space="preserve"> </w:t>
      </w:r>
    </w:p>
    <w:p w14:paraId="38B1170C" w14:textId="77777777" w:rsidR="005327F8" w:rsidRDefault="005327F8" w:rsidP="005327F8">
      <w:pPr>
        <w:spacing w:after="0" w:line="276" w:lineRule="auto"/>
        <w:jc w:val="both"/>
        <w:rPr>
          <w:rFonts w:eastAsia="Calibri"/>
          <w:b/>
          <w:bCs w:val="0"/>
          <w:color w:val="0070C0"/>
          <w:sz w:val="16"/>
          <w:szCs w:val="16"/>
        </w:rPr>
      </w:pPr>
    </w:p>
    <w:p w14:paraId="7CCDFF19" w14:textId="77777777" w:rsidR="005327F8" w:rsidRDefault="005327F8" w:rsidP="005327F8">
      <w:pPr>
        <w:spacing w:after="0" w:line="276" w:lineRule="auto"/>
        <w:jc w:val="both"/>
        <w:rPr>
          <w:rFonts w:eastAsia="Calibri"/>
          <w:bCs w:val="0"/>
          <w:color w:val="0070C0"/>
          <w:sz w:val="16"/>
          <w:szCs w:val="16"/>
        </w:rPr>
      </w:pPr>
      <w:r>
        <w:rPr>
          <w:rFonts w:eastAsia="Calibri"/>
          <w:b/>
          <w:bCs w:val="0"/>
          <w:color w:val="0070C0"/>
          <w:sz w:val="16"/>
          <w:szCs w:val="16"/>
        </w:rPr>
        <w:t xml:space="preserve">Broadcasters: </w:t>
      </w:r>
      <w:r>
        <w:rPr>
          <w:rFonts w:eastAsia="Calibri"/>
          <w:bCs w:val="0"/>
          <w:color w:val="0070C0"/>
          <w:sz w:val="16"/>
          <w:szCs w:val="16"/>
        </w:rPr>
        <w:t>SMMT has an ISDN studio and access to expert spokespeople, case studies and regional representatives.</w:t>
      </w:r>
    </w:p>
    <w:p w14:paraId="05C056D3" w14:textId="77777777" w:rsidR="005327F8" w:rsidRDefault="005327F8" w:rsidP="005327F8">
      <w:pPr>
        <w:spacing w:after="0" w:line="276" w:lineRule="auto"/>
        <w:ind w:right="280"/>
        <w:rPr>
          <w:rFonts w:eastAsia="Calibri"/>
          <w:b/>
          <w:bCs w:val="0"/>
          <w:color w:val="1074CB"/>
          <w:sz w:val="16"/>
          <w:szCs w:val="16"/>
        </w:rPr>
      </w:pPr>
    </w:p>
    <w:p w14:paraId="3ECF9021" w14:textId="77777777" w:rsidR="005327F8" w:rsidRDefault="005327F8" w:rsidP="005327F8">
      <w:pPr>
        <w:spacing w:after="0" w:line="276" w:lineRule="auto"/>
        <w:ind w:right="280"/>
        <w:rPr>
          <w:rFonts w:eastAsia="Calibri"/>
          <w:b/>
          <w:bCs w:val="0"/>
          <w:color w:val="1074CB"/>
          <w:sz w:val="16"/>
          <w:szCs w:val="16"/>
          <w:lang w:val="it-IT"/>
        </w:rPr>
      </w:pPr>
      <w:r>
        <w:rPr>
          <w:rFonts w:eastAsia="Calibri"/>
          <w:b/>
          <w:bCs w:val="0"/>
          <w:color w:val="1074CB"/>
          <w:sz w:val="16"/>
          <w:szCs w:val="16"/>
          <w:lang w:val="it-IT"/>
        </w:rPr>
        <w:t>Media contacts</w:t>
      </w:r>
    </w:p>
    <w:p w14:paraId="3BD913A9" w14:textId="77777777" w:rsidR="005327F8" w:rsidRDefault="005327F8" w:rsidP="005327F8">
      <w:pPr>
        <w:spacing w:after="0" w:line="276" w:lineRule="auto"/>
        <w:ind w:right="280"/>
        <w:rPr>
          <w:rFonts w:eastAsia="Calibri"/>
          <w:b/>
          <w:bCs w:val="0"/>
          <w:color w:val="1074CB"/>
          <w:sz w:val="16"/>
          <w:szCs w:val="16"/>
          <w:lang w:val="it-IT"/>
        </w:rPr>
      </w:pPr>
    </w:p>
    <w:p w14:paraId="11D413CA" w14:textId="079C01BD" w:rsidR="005327F8" w:rsidRPr="0035325F" w:rsidRDefault="005327F8" w:rsidP="005327F8">
      <w:pPr>
        <w:spacing w:after="0" w:line="276" w:lineRule="auto"/>
        <w:ind w:right="280"/>
        <w:rPr>
          <w:rFonts w:eastAsia="Calibri"/>
          <w:bCs w:val="0"/>
          <w:color w:val="1074CB"/>
          <w:sz w:val="16"/>
          <w:szCs w:val="16"/>
          <w:lang w:val="it-IT"/>
        </w:rPr>
      </w:pPr>
      <w:r w:rsidRPr="0035325F">
        <w:rPr>
          <w:rFonts w:eastAsia="Calibri"/>
          <w:bCs w:val="0"/>
          <w:color w:val="1074CB"/>
          <w:sz w:val="16"/>
          <w:szCs w:val="16"/>
          <w:lang w:val="it-IT"/>
        </w:rPr>
        <w:t xml:space="preserve">Paul Mauerhoff                         07809 522181          </w:t>
      </w:r>
      <w:hyperlink r:id="rId15" w:history="1">
        <w:r w:rsidR="009D5851" w:rsidRPr="0035325F">
          <w:rPr>
            <w:rStyle w:val="Hyperlink"/>
            <w:rFonts w:eastAsia="Calibri"/>
            <w:bCs w:val="0"/>
            <w:sz w:val="16"/>
            <w:szCs w:val="16"/>
            <w:lang w:val="it-IT"/>
          </w:rPr>
          <w:t>pmauerhoff@smmt.co.uk</w:t>
        </w:r>
      </w:hyperlink>
      <w:r w:rsidRPr="0035325F">
        <w:rPr>
          <w:rFonts w:eastAsia="Calibri"/>
          <w:bCs w:val="0"/>
          <w:color w:val="1074CB"/>
          <w:sz w:val="16"/>
          <w:szCs w:val="16"/>
          <w:lang w:val="it-IT"/>
        </w:rPr>
        <w:t xml:space="preserve">  </w:t>
      </w:r>
    </w:p>
    <w:p w14:paraId="1007D43F" w14:textId="45659F68" w:rsidR="005327F8" w:rsidRPr="007409C0" w:rsidRDefault="005327F8" w:rsidP="005327F8">
      <w:pPr>
        <w:spacing w:after="0" w:line="276" w:lineRule="auto"/>
        <w:rPr>
          <w:rFonts w:eastAsia="Calibri"/>
          <w:bCs w:val="0"/>
          <w:color w:val="0070C0"/>
          <w:sz w:val="16"/>
          <w:szCs w:val="16"/>
          <w:lang w:val="fr-FR"/>
        </w:rPr>
      </w:pPr>
      <w:r w:rsidRPr="007409C0">
        <w:rPr>
          <w:rFonts w:eastAsia="Calibri"/>
          <w:bCs w:val="0"/>
          <w:color w:val="0070C0"/>
          <w:sz w:val="16"/>
          <w:szCs w:val="16"/>
          <w:lang w:val="fr-FR"/>
        </w:rPr>
        <w:t xml:space="preserve">James Boley                             07927 668565          </w:t>
      </w:r>
      <w:hyperlink r:id="rId16" w:history="1">
        <w:r w:rsidR="007409C0" w:rsidRPr="007409C0">
          <w:rPr>
            <w:rStyle w:val="Hyperlink"/>
            <w:rFonts w:eastAsia="Calibri"/>
            <w:bCs w:val="0"/>
            <w:color w:val="0563C1"/>
            <w:sz w:val="16"/>
            <w:szCs w:val="16"/>
            <w:lang w:val="fr-FR"/>
          </w:rPr>
          <w:t>jboley@smmt.co.uk</w:t>
        </w:r>
      </w:hyperlink>
      <w:r w:rsidR="007409C0">
        <w:rPr>
          <w:lang w:val="fr-FR"/>
        </w:rPr>
        <w:t xml:space="preserve"> </w:t>
      </w:r>
    </w:p>
    <w:p w14:paraId="176640A4" w14:textId="77777777" w:rsidR="005327F8" w:rsidRPr="00466A52" w:rsidRDefault="005327F8" w:rsidP="005327F8">
      <w:pPr>
        <w:spacing w:after="0" w:line="276" w:lineRule="auto"/>
        <w:rPr>
          <w:rFonts w:eastAsia="Calibri"/>
          <w:bCs w:val="0"/>
          <w:color w:val="0070C0"/>
          <w:sz w:val="16"/>
          <w:szCs w:val="16"/>
        </w:rPr>
      </w:pPr>
      <w:r>
        <w:rPr>
          <w:rFonts w:eastAsia="Calibri"/>
          <w:bCs w:val="0"/>
          <w:color w:val="0070C0"/>
          <w:sz w:val="16"/>
          <w:szCs w:val="16"/>
        </w:rPr>
        <w:t xml:space="preserve">Rebecca Gibbs                          07708 480889         </w:t>
      </w:r>
      <w:hyperlink r:id="rId17" w:history="1">
        <w:r>
          <w:rPr>
            <w:rStyle w:val="Hyperlink"/>
            <w:rFonts w:eastAsia="Calibri"/>
            <w:bCs w:val="0"/>
            <w:sz w:val="16"/>
            <w:szCs w:val="16"/>
          </w:rPr>
          <w:t>rgibbs@smmt.co.uk</w:t>
        </w:r>
      </w:hyperlink>
      <w:r>
        <w:rPr>
          <w:rFonts w:eastAsia="Calibri"/>
          <w:bCs w:val="0"/>
          <w:color w:val="0070C0"/>
          <w:sz w:val="16"/>
          <w:szCs w:val="16"/>
        </w:rPr>
        <w:t xml:space="preserve"> </w:t>
      </w:r>
      <w:r>
        <w:rPr>
          <w:rFonts w:eastAsia="Calibri"/>
          <w:bCs w:val="0"/>
          <w:color w:val="0070C0"/>
          <w:sz w:val="16"/>
          <w:szCs w:val="16"/>
        </w:rPr>
        <w:br/>
        <w:t>Scott Clarke                               07912 799959</w:t>
      </w:r>
      <w:r>
        <w:rPr>
          <w:rFonts w:eastAsia="Calibri"/>
          <w:bCs w:val="0"/>
          <w:sz w:val="22"/>
          <w:szCs w:val="22"/>
        </w:rPr>
        <w:t xml:space="preserve">       </w:t>
      </w:r>
      <w:hyperlink r:id="rId18" w:history="1">
        <w:r>
          <w:rPr>
            <w:rStyle w:val="Hyperlink"/>
            <w:rFonts w:eastAsia="Calibri"/>
            <w:bCs w:val="0"/>
            <w:color w:val="0563C1"/>
            <w:sz w:val="16"/>
            <w:szCs w:val="16"/>
          </w:rPr>
          <w:t>sclarke@smmt.co.uk</w:t>
        </w:r>
      </w:hyperlink>
      <w:r>
        <w:rPr>
          <w:rFonts w:eastAsia="Calibri"/>
          <w:bCs w:val="0"/>
          <w:color w:val="0000FF"/>
          <w:sz w:val="16"/>
          <w:szCs w:val="16"/>
          <w:u w:val="single"/>
        </w:rPr>
        <w:br/>
      </w:r>
      <w:r>
        <w:rPr>
          <w:rFonts w:eastAsia="Calibri"/>
          <w:bCs w:val="0"/>
          <w:color w:val="0070C0"/>
          <w:sz w:val="16"/>
          <w:szCs w:val="16"/>
        </w:rPr>
        <w:t xml:space="preserve">Emma Butcher </w:t>
      </w:r>
      <w:r>
        <w:rPr>
          <w:rFonts w:eastAsia="Calibri"/>
          <w:bCs w:val="0"/>
          <w:sz w:val="22"/>
          <w:szCs w:val="22"/>
        </w:rPr>
        <w:t xml:space="preserve">      </w:t>
      </w:r>
      <w:r>
        <w:rPr>
          <w:rFonts w:eastAsia="Calibri"/>
          <w:bCs w:val="0"/>
          <w:color w:val="0070C0"/>
          <w:sz w:val="16"/>
          <w:szCs w:val="16"/>
        </w:rPr>
        <w:t>                 07880 191825</w:t>
      </w:r>
      <w:r>
        <w:rPr>
          <w:rFonts w:eastAsia="Calibri"/>
          <w:bCs w:val="0"/>
          <w:sz w:val="22"/>
          <w:szCs w:val="22"/>
        </w:rPr>
        <w:t xml:space="preserve">       </w:t>
      </w:r>
      <w:hyperlink r:id="rId19" w:history="1">
        <w:r>
          <w:rPr>
            <w:rStyle w:val="Hyperlink"/>
            <w:rFonts w:eastAsia="Calibri"/>
            <w:bCs w:val="0"/>
            <w:color w:val="0563C1"/>
            <w:sz w:val="16"/>
            <w:szCs w:val="16"/>
          </w:rPr>
          <w:t>ebutcher@smmt.co.uk</w:t>
        </w:r>
      </w:hyperlink>
      <w:r w:rsidRPr="00957F99">
        <w:rPr>
          <w:rFonts w:eastAsia="Calibri"/>
          <w:bCs w:val="0"/>
          <w:sz w:val="16"/>
          <w:szCs w:val="16"/>
        </w:rPr>
        <w:t xml:space="preserve"> </w:t>
      </w:r>
    </w:p>
    <w:p w14:paraId="6DB50429" w14:textId="46E449E5" w:rsidR="00207D54" w:rsidRPr="005327F8" w:rsidRDefault="00207D54" w:rsidP="005327F8"/>
    <w:sectPr w:rsidR="00207D54" w:rsidRPr="005327F8" w:rsidSect="00105E93">
      <w:headerReference w:type="default" r:id="rId20"/>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36EE9" w14:textId="77777777" w:rsidR="00187A51" w:rsidRDefault="00187A51" w:rsidP="007C70D3">
      <w:pPr>
        <w:spacing w:after="0" w:line="240" w:lineRule="auto"/>
      </w:pPr>
      <w:r>
        <w:separator/>
      </w:r>
    </w:p>
  </w:endnote>
  <w:endnote w:type="continuationSeparator" w:id="0">
    <w:p w14:paraId="6F454572" w14:textId="77777777" w:rsidR="00187A51" w:rsidRDefault="00187A51" w:rsidP="007C70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33496A" w14:textId="77777777" w:rsidR="00187A51" w:rsidRDefault="00187A51" w:rsidP="007C70D3">
      <w:pPr>
        <w:spacing w:after="0" w:line="240" w:lineRule="auto"/>
      </w:pPr>
      <w:r>
        <w:separator/>
      </w:r>
    </w:p>
  </w:footnote>
  <w:footnote w:type="continuationSeparator" w:id="0">
    <w:p w14:paraId="73A12DB9" w14:textId="77777777" w:rsidR="00187A51" w:rsidRDefault="00187A51" w:rsidP="007C70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4223A2" w14:textId="6A6F97B6" w:rsidR="007C70D3" w:rsidRDefault="007C70D3" w:rsidP="007C70D3">
    <w:pPr>
      <w:pStyle w:val="Header"/>
      <w:jc w:val="right"/>
    </w:pPr>
    <w:r>
      <w:rPr>
        <w:noProof/>
      </w:rPr>
      <w:drawing>
        <wp:inline distT="0" distB="0" distL="0" distR="0" wp14:anchorId="55B52AC7" wp14:editId="33CCEEAF">
          <wp:extent cx="1724053" cy="549535"/>
          <wp:effectExtent l="0" t="0" r="0" b="3175"/>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742989" cy="555571"/>
                  </a:xfrm>
                  <a:prstGeom prst="rect">
                    <a:avLst/>
                  </a:prstGeom>
                </pic:spPr>
              </pic:pic>
            </a:graphicData>
          </a:graphic>
        </wp:inline>
      </w:drawing>
    </w:r>
  </w:p>
  <w:p w14:paraId="561C1841" w14:textId="77777777" w:rsidR="007C70D3" w:rsidRDefault="007C70D3" w:rsidP="007C70D3">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3631321"/>
    <w:multiLevelType w:val="hybridMultilevel"/>
    <w:tmpl w:val="386AB36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 w15:restartNumberingAfterBreak="0">
    <w:nsid w:val="686A761F"/>
    <w:multiLevelType w:val="hybridMultilevel"/>
    <w:tmpl w:val="9C781F74"/>
    <w:lvl w:ilvl="0" w:tplc="AE6E509C">
      <w:start w:val="1"/>
      <w:numFmt w:val="decimal"/>
      <w:lvlText w:val="%1."/>
      <w:lvlJc w:val="left"/>
      <w:pPr>
        <w:ind w:left="720" w:hanging="360"/>
      </w:pPr>
      <w:rPr>
        <w:rFonts w:hint="default"/>
        <w:b w:val="0"/>
        <w:bCs w:val="0"/>
        <w:color w:val="auto"/>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22903333">
    <w:abstractNumId w:val="0"/>
  </w:num>
  <w:num w:numId="2" w16cid:durableId="579872088">
    <w:abstractNumId w:val="0"/>
  </w:num>
  <w:num w:numId="3" w16cid:durableId="171451573">
    <w:abstractNumId w:val="1"/>
  </w:num>
  <w:num w:numId="4" w16cid:durableId="20739178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1185"/>
    <w:rsid w:val="00000169"/>
    <w:rsid w:val="0000134C"/>
    <w:rsid w:val="000141D1"/>
    <w:rsid w:val="000170B9"/>
    <w:rsid w:val="00026990"/>
    <w:rsid w:val="00060BFA"/>
    <w:rsid w:val="00091C30"/>
    <w:rsid w:val="000B05BD"/>
    <w:rsid w:val="000B4C35"/>
    <w:rsid w:val="000C3303"/>
    <w:rsid w:val="000C66C9"/>
    <w:rsid w:val="000C79EC"/>
    <w:rsid w:val="000F4DC3"/>
    <w:rsid w:val="00105E93"/>
    <w:rsid w:val="00106297"/>
    <w:rsid w:val="0013047F"/>
    <w:rsid w:val="001335CF"/>
    <w:rsid w:val="00136907"/>
    <w:rsid w:val="00140F92"/>
    <w:rsid w:val="00184267"/>
    <w:rsid w:val="00187A51"/>
    <w:rsid w:val="00187DA8"/>
    <w:rsid w:val="001A369F"/>
    <w:rsid w:val="001A6E70"/>
    <w:rsid w:val="00201D70"/>
    <w:rsid w:val="00207D54"/>
    <w:rsid w:val="002305E7"/>
    <w:rsid w:val="002600B3"/>
    <w:rsid w:val="002C7B9B"/>
    <w:rsid w:val="003342EC"/>
    <w:rsid w:val="0035325F"/>
    <w:rsid w:val="00361202"/>
    <w:rsid w:val="003805CC"/>
    <w:rsid w:val="003869B9"/>
    <w:rsid w:val="0039093A"/>
    <w:rsid w:val="00394B89"/>
    <w:rsid w:val="003C2F66"/>
    <w:rsid w:val="003C3B2C"/>
    <w:rsid w:val="003D0EF8"/>
    <w:rsid w:val="003D1856"/>
    <w:rsid w:val="00441185"/>
    <w:rsid w:val="0044731C"/>
    <w:rsid w:val="004539DD"/>
    <w:rsid w:val="00460013"/>
    <w:rsid w:val="00466A52"/>
    <w:rsid w:val="00493156"/>
    <w:rsid w:val="004A3B1A"/>
    <w:rsid w:val="004B5302"/>
    <w:rsid w:val="004D2A8E"/>
    <w:rsid w:val="004E15BE"/>
    <w:rsid w:val="004E57A9"/>
    <w:rsid w:val="004F2D8F"/>
    <w:rsid w:val="005327F8"/>
    <w:rsid w:val="0057487C"/>
    <w:rsid w:val="005C534C"/>
    <w:rsid w:val="005D5246"/>
    <w:rsid w:val="0060172D"/>
    <w:rsid w:val="00630F5D"/>
    <w:rsid w:val="0063310F"/>
    <w:rsid w:val="0065420B"/>
    <w:rsid w:val="0065593F"/>
    <w:rsid w:val="0068263F"/>
    <w:rsid w:val="006A0D98"/>
    <w:rsid w:val="006C09F0"/>
    <w:rsid w:val="006C7567"/>
    <w:rsid w:val="006F6C4B"/>
    <w:rsid w:val="00706C62"/>
    <w:rsid w:val="007267BF"/>
    <w:rsid w:val="00733D63"/>
    <w:rsid w:val="007343E0"/>
    <w:rsid w:val="007409C0"/>
    <w:rsid w:val="007743B6"/>
    <w:rsid w:val="00774A1B"/>
    <w:rsid w:val="00792BEE"/>
    <w:rsid w:val="00795A47"/>
    <w:rsid w:val="007A2BAE"/>
    <w:rsid w:val="007B19A8"/>
    <w:rsid w:val="007C4EE2"/>
    <w:rsid w:val="007C70D3"/>
    <w:rsid w:val="007F452D"/>
    <w:rsid w:val="007F5328"/>
    <w:rsid w:val="007F77AC"/>
    <w:rsid w:val="008023D4"/>
    <w:rsid w:val="00813C87"/>
    <w:rsid w:val="0081409C"/>
    <w:rsid w:val="00815871"/>
    <w:rsid w:val="00817F8F"/>
    <w:rsid w:val="00830325"/>
    <w:rsid w:val="00832B6A"/>
    <w:rsid w:val="00834229"/>
    <w:rsid w:val="00845616"/>
    <w:rsid w:val="008467A1"/>
    <w:rsid w:val="0087401F"/>
    <w:rsid w:val="0088548A"/>
    <w:rsid w:val="008A615B"/>
    <w:rsid w:val="008B30B1"/>
    <w:rsid w:val="008C610C"/>
    <w:rsid w:val="008C647C"/>
    <w:rsid w:val="008F084D"/>
    <w:rsid w:val="008F391F"/>
    <w:rsid w:val="008F6353"/>
    <w:rsid w:val="009034FB"/>
    <w:rsid w:val="0093781D"/>
    <w:rsid w:val="00947795"/>
    <w:rsid w:val="009648B9"/>
    <w:rsid w:val="00980177"/>
    <w:rsid w:val="009817E4"/>
    <w:rsid w:val="00983E45"/>
    <w:rsid w:val="009A3E9F"/>
    <w:rsid w:val="009A41A3"/>
    <w:rsid w:val="009A5EC0"/>
    <w:rsid w:val="009B3386"/>
    <w:rsid w:val="009B7216"/>
    <w:rsid w:val="009D4562"/>
    <w:rsid w:val="009D4E68"/>
    <w:rsid w:val="009D5851"/>
    <w:rsid w:val="009E4B4F"/>
    <w:rsid w:val="009F1892"/>
    <w:rsid w:val="009F4312"/>
    <w:rsid w:val="00A0745C"/>
    <w:rsid w:val="00A10812"/>
    <w:rsid w:val="00A12514"/>
    <w:rsid w:val="00A15050"/>
    <w:rsid w:val="00A3069E"/>
    <w:rsid w:val="00A65FC6"/>
    <w:rsid w:val="00A77EE5"/>
    <w:rsid w:val="00AC70AB"/>
    <w:rsid w:val="00AD4DC4"/>
    <w:rsid w:val="00AE1723"/>
    <w:rsid w:val="00AF178E"/>
    <w:rsid w:val="00AF757B"/>
    <w:rsid w:val="00B00749"/>
    <w:rsid w:val="00B07770"/>
    <w:rsid w:val="00B152E1"/>
    <w:rsid w:val="00B2575C"/>
    <w:rsid w:val="00B336CB"/>
    <w:rsid w:val="00B51DE2"/>
    <w:rsid w:val="00B66238"/>
    <w:rsid w:val="00B73A35"/>
    <w:rsid w:val="00B8152F"/>
    <w:rsid w:val="00B83CB1"/>
    <w:rsid w:val="00B92DCD"/>
    <w:rsid w:val="00BD0691"/>
    <w:rsid w:val="00C11DB6"/>
    <w:rsid w:val="00C14D65"/>
    <w:rsid w:val="00C26402"/>
    <w:rsid w:val="00C6753F"/>
    <w:rsid w:val="00C712EA"/>
    <w:rsid w:val="00C91ABE"/>
    <w:rsid w:val="00C92016"/>
    <w:rsid w:val="00C931BE"/>
    <w:rsid w:val="00C95045"/>
    <w:rsid w:val="00C97246"/>
    <w:rsid w:val="00C978BD"/>
    <w:rsid w:val="00CA05DC"/>
    <w:rsid w:val="00CB79D6"/>
    <w:rsid w:val="00CC63F2"/>
    <w:rsid w:val="00CC70D2"/>
    <w:rsid w:val="00CE31DC"/>
    <w:rsid w:val="00CF774A"/>
    <w:rsid w:val="00D03FFF"/>
    <w:rsid w:val="00D24071"/>
    <w:rsid w:val="00D27E6A"/>
    <w:rsid w:val="00D44AB3"/>
    <w:rsid w:val="00D4591F"/>
    <w:rsid w:val="00D91C32"/>
    <w:rsid w:val="00D92A5E"/>
    <w:rsid w:val="00DB29E8"/>
    <w:rsid w:val="00DC54FC"/>
    <w:rsid w:val="00DC78A6"/>
    <w:rsid w:val="00DD3224"/>
    <w:rsid w:val="00DF34FF"/>
    <w:rsid w:val="00E00B62"/>
    <w:rsid w:val="00E04576"/>
    <w:rsid w:val="00E10DB6"/>
    <w:rsid w:val="00E1567F"/>
    <w:rsid w:val="00E26717"/>
    <w:rsid w:val="00E31CCE"/>
    <w:rsid w:val="00E41A69"/>
    <w:rsid w:val="00E439E9"/>
    <w:rsid w:val="00E47DB7"/>
    <w:rsid w:val="00E772E4"/>
    <w:rsid w:val="00EA51F3"/>
    <w:rsid w:val="00EC2A6A"/>
    <w:rsid w:val="00EC5CBD"/>
    <w:rsid w:val="00ED3EA0"/>
    <w:rsid w:val="00F01818"/>
    <w:rsid w:val="00F05059"/>
    <w:rsid w:val="00F20DF4"/>
    <w:rsid w:val="00F22179"/>
    <w:rsid w:val="00F63ED8"/>
    <w:rsid w:val="00F90C18"/>
    <w:rsid w:val="00FA4F43"/>
    <w:rsid w:val="00FB745D"/>
    <w:rsid w:val="00FC5C39"/>
    <w:rsid w:val="00FD636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26DF5E"/>
  <w15:chartTrackingRefBased/>
  <w15:docId w15:val="{79A7C5A9-E375-4242-8A08-DB6D1254E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bCs/>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A52"/>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41185"/>
    <w:rPr>
      <w:color w:val="0563C1" w:themeColor="hyperlink"/>
      <w:u w:val="single"/>
    </w:rPr>
  </w:style>
  <w:style w:type="character" w:styleId="UnresolvedMention">
    <w:name w:val="Unresolved Mention"/>
    <w:basedOn w:val="DefaultParagraphFont"/>
    <w:uiPriority w:val="99"/>
    <w:semiHidden/>
    <w:unhideWhenUsed/>
    <w:rsid w:val="00441185"/>
    <w:rPr>
      <w:color w:val="605E5C"/>
      <w:shd w:val="clear" w:color="auto" w:fill="E1DFDD"/>
    </w:rPr>
  </w:style>
  <w:style w:type="paragraph" w:styleId="NormalWeb">
    <w:name w:val="Normal (Web)"/>
    <w:basedOn w:val="Normal"/>
    <w:uiPriority w:val="99"/>
    <w:semiHidden/>
    <w:unhideWhenUsed/>
    <w:rsid w:val="00060BFA"/>
    <w:pPr>
      <w:spacing w:before="100" w:beforeAutospacing="1" w:after="100" w:afterAutospacing="1" w:line="240" w:lineRule="auto"/>
    </w:pPr>
    <w:rPr>
      <w:rFonts w:ascii="Calibri" w:hAnsi="Calibri" w:cs="Calibri"/>
      <w:bCs w:val="0"/>
      <w:sz w:val="22"/>
      <w:szCs w:val="22"/>
      <w:lang w:eastAsia="en-GB"/>
    </w:rPr>
  </w:style>
  <w:style w:type="paragraph" w:styleId="Header">
    <w:name w:val="header"/>
    <w:basedOn w:val="Normal"/>
    <w:link w:val="HeaderChar"/>
    <w:uiPriority w:val="99"/>
    <w:unhideWhenUsed/>
    <w:rsid w:val="007C70D3"/>
    <w:pPr>
      <w:tabs>
        <w:tab w:val="center" w:pos="4513"/>
        <w:tab w:val="right" w:pos="9026"/>
      </w:tabs>
      <w:spacing w:after="0" w:line="240" w:lineRule="auto"/>
    </w:pPr>
  </w:style>
  <w:style w:type="character" w:customStyle="1" w:styleId="HeaderChar">
    <w:name w:val="Header Char"/>
    <w:basedOn w:val="DefaultParagraphFont"/>
    <w:link w:val="Header"/>
    <w:uiPriority w:val="99"/>
    <w:rsid w:val="007C70D3"/>
  </w:style>
  <w:style w:type="paragraph" w:styleId="Footer">
    <w:name w:val="footer"/>
    <w:basedOn w:val="Normal"/>
    <w:link w:val="FooterChar"/>
    <w:uiPriority w:val="99"/>
    <w:unhideWhenUsed/>
    <w:rsid w:val="007C70D3"/>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70D3"/>
  </w:style>
  <w:style w:type="paragraph" w:styleId="Revision">
    <w:name w:val="Revision"/>
    <w:hidden/>
    <w:uiPriority w:val="99"/>
    <w:semiHidden/>
    <w:rsid w:val="003D1856"/>
    <w:pPr>
      <w:spacing w:after="0" w:line="240" w:lineRule="auto"/>
    </w:pPr>
  </w:style>
  <w:style w:type="character" w:styleId="CommentReference">
    <w:name w:val="annotation reference"/>
    <w:basedOn w:val="DefaultParagraphFont"/>
    <w:uiPriority w:val="99"/>
    <w:semiHidden/>
    <w:unhideWhenUsed/>
    <w:rsid w:val="003D1856"/>
    <w:rPr>
      <w:sz w:val="16"/>
      <w:szCs w:val="16"/>
    </w:rPr>
  </w:style>
  <w:style w:type="paragraph" w:styleId="CommentText">
    <w:name w:val="annotation text"/>
    <w:basedOn w:val="Normal"/>
    <w:link w:val="CommentTextChar"/>
    <w:uiPriority w:val="99"/>
    <w:unhideWhenUsed/>
    <w:rsid w:val="003D1856"/>
    <w:pPr>
      <w:spacing w:line="240" w:lineRule="auto"/>
    </w:pPr>
  </w:style>
  <w:style w:type="character" w:customStyle="1" w:styleId="CommentTextChar">
    <w:name w:val="Comment Text Char"/>
    <w:basedOn w:val="DefaultParagraphFont"/>
    <w:link w:val="CommentText"/>
    <w:uiPriority w:val="99"/>
    <w:rsid w:val="003D1856"/>
  </w:style>
  <w:style w:type="paragraph" w:styleId="CommentSubject">
    <w:name w:val="annotation subject"/>
    <w:basedOn w:val="CommentText"/>
    <w:next w:val="CommentText"/>
    <w:link w:val="CommentSubjectChar"/>
    <w:uiPriority w:val="99"/>
    <w:semiHidden/>
    <w:unhideWhenUsed/>
    <w:rsid w:val="003D1856"/>
    <w:rPr>
      <w:b/>
    </w:rPr>
  </w:style>
  <w:style w:type="character" w:customStyle="1" w:styleId="CommentSubjectChar">
    <w:name w:val="Comment Subject Char"/>
    <w:basedOn w:val="CommentTextChar"/>
    <w:link w:val="CommentSubject"/>
    <w:uiPriority w:val="99"/>
    <w:semiHidden/>
    <w:rsid w:val="003D1856"/>
    <w:rPr>
      <w:b/>
    </w:rPr>
  </w:style>
  <w:style w:type="paragraph" w:styleId="ListParagraph">
    <w:name w:val="List Paragraph"/>
    <w:aliases w:val="Dot pt,List Paragraph Char Char Char,Indicator Text,Numbered Para 1,List Paragraph1,Bullet 1,Bullet Points,MAIN CONTENT,Maire,No Spacing1,Colorful List - Accent 11,F5 List Paragraph,List Paragraph2,List Paragraph12,Normal numbered,Bullet"/>
    <w:basedOn w:val="Normal"/>
    <w:link w:val="ListParagraphChar"/>
    <w:uiPriority w:val="34"/>
    <w:qFormat/>
    <w:rsid w:val="00A12514"/>
    <w:pPr>
      <w:spacing w:line="259" w:lineRule="auto"/>
      <w:ind w:left="720"/>
      <w:contextualSpacing/>
    </w:pPr>
    <w:rPr>
      <w:rFonts w:cstheme="minorBidi"/>
      <w:bCs w:val="0"/>
      <w:szCs w:val="22"/>
    </w:rPr>
  </w:style>
  <w:style w:type="character" w:customStyle="1" w:styleId="ListParagraphChar">
    <w:name w:val="List Paragraph Char"/>
    <w:aliases w:val="Dot pt Char,List Paragraph Char Char Char Char,Indicator Text Char,Numbered Para 1 Char,List Paragraph1 Char,Bullet 1 Char,Bullet Points Char,MAIN CONTENT Char,Maire Char,No Spacing1 Char,Colorful List - Accent 11 Char,Bullet Char"/>
    <w:link w:val="ListParagraph"/>
    <w:uiPriority w:val="34"/>
    <w:qFormat/>
    <w:locked/>
    <w:rsid w:val="00A12514"/>
    <w:rPr>
      <w:rFonts w:cstheme="minorBidi"/>
      <w:bCs w:val="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171421">
      <w:bodyDiv w:val="1"/>
      <w:marLeft w:val="0"/>
      <w:marRight w:val="0"/>
      <w:marTop w:val="0"/>
      <w:marBottom w:val="0"/>
      <w:divBdr>
        <w:top w:val="none" w:sz="0" w:space="0" w:color="auto"/>
        <w:left w:val="none" w:sz="0" w:space="0" w:color="auto"/>
        <w:bottom w:val="none" w:sz="0" w:space="0" w:color="auto"/>
        <w:right w:val="none" w:sz="0" w:space="0" w:color="auto"/>
      </w:divBdr>
    </w:div>
    <w:div w:id="433482113">
      <w:bodyDiv w:val="1"/>
      <w:marLeft w:val="0"/>
      <w:marRight w:val="0"/>
      <w:marTop w:val="0"/>
      <w:marBottom w:val="0"/>
      <w:divBdr>
        <w:top w:val="none" w:sz="0" w:space="0" w:color="auto"/>
        <w:left w:val="none" w:sz="0" w:space="0" w:color="auto"/>
        <w:bottom w:val="none" w:sz="0" w:space="0" w:color="auto"/>
        <w:right w:val="none" w:sz="0" w:space="0" w:color="auto"/>
      </w:divBdr>
    </w:div>
    <w:div w:id="1134064450">
      <w:bodyDiv w:val="1"/>
      <w:marLeft w:val="0"/>
      <w:marRight w:val="0"/>
      <w:marTop w:val="0"/>
      <w:marBottom w:val="0"/>
      <w:divBdr>
        <w:top w:val="none" w:sz="0" w:space="0" w:color="auto"/>
        <w:left w:val="none" w:sz="0" w:space="0" w:color="auto"/>
        <w:bottom w:val="none" w:sz="0" w:space="0" w:color="auto"/>
        <w:right w:val="none" w:sz="0" w:space="0" w:color="auto"/>
      </w:divBdr>
    </w:div>
    <w:div w:id="2124225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mailto:sclarke@smmt.co.uk"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mailto:rgibbs@smmt.co.uk" TargetMode="External"/><Relationship Id="rId2" Type="http://schemas.openxmlformats.org/officeDocument/2006/relationships/styles" Target="styles.xml"/><Relationship Id="rId16" Type="http://schemas.openxmlformats.org/officeDocument/2006/relationships/hyperlink" Target="mailto:jboley@smmt.co.uk"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mailto:pmauerhoff@smmt.co.uk" TargetMode="External"/><Relationship Id="rId10" Type="http://schemas.openxmlformats.org/officeDocument/2006/relationships/image" Target="media/image4.png"/><Relationship Id="rId19" Type="http://schemas.openxmlformats.org/officeDocument/2006/relationships/hyperlink" Target="mailto:ebutcher@smmt.co.uk"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smmt.co.uk/reports/smmt-motor-industry-facts/"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1114</Words>
  <Characters>6353</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Clarke</dc:creator>
  <cp:keywords/>
  <dc:description/>
  <cp:lastModifiedBy>James Boley</cp:lastModifiedBy>
  <cp:revision>3</cp:revision>
  <dcterms:created xsi:type="dcterms:W3CDTF">2023-02-06T08:28:00Z</dcterms:created>
  <dcterms:modified xsi:type="dcterms:W3CDTF">2023-02-06T09:00:00Z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495b87fc4094c3df532d5561dad35bb225961c9c0c82719fd990fd36696f30b8</vt:lpwstr>
  </property>
</Properties>
</file>