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5658F" w14:textId="5E1B6362" w:rsidR="009B23AA" w:rsidRPr="00304E78" w:rsidRDefault="009B23AA" w:rsidP="009B23AA">
      <w:pPr>
        <w:shd w:val="clear" w:color="auto" w:fill="FFFFFF"/>
        <w:spacing w:after="240" w:line="276" w:lineRule="auto"/>
        <w:jc w:val="both"/>
        <w:rPr>
          <w:rFonts w:eastAsia="Calibri"/>
          <w:b/>
          <w:bCs/>
          <w:lang w:eastAsia="en-GB"/>
        </w:rPr>
      </w:pPr>
      <w:bookmarkStart w:id="0" w:name="_Hlk70001961"/>
      <w:r w:rsidRPr="00304E78">
        <w:rPr>
          <w:rFonts w:eastAsia="Calibri"/>
          <w:b/>
          <w:bCs/>
          <w:color w:val="1074CB"/>
          <w:sz w:val="40"/>
          <w:szCs w:val="40"/>
          <w:lang w:eastAsia="en-GB"/>
        </w:rPr>
        <w:t>UK NEW HGV REGISTRATIONS</w:t>
      </w:r>
      <w:bookmarkEnd w:id="0"/>
      <w:r w:rsidRPr="00304E78">
        <w:rPr>
          <w:rFonts w:eastAsia="Calibri"/>
          <w:b/>
          <w:bCs/>
          <w:color w:val="1074CB"/>
          <w:sz w:val="40"/>
          <w:szCs w:val="40"/>
          <w:lang w:eastAsia="en-GB"/>
        </w:rPr>
        <w:t>   </w:t>
      </w:r>
      <w:r>
        <w:rPr>
          <w:rFonts w:eastAsia="Calibri"/>
          <w:b/>
          <w:bCs/>
          <w:color w:val="1074CB"/>
          <w:sz w:val="40"/>
          <w:szCs w:val="40"/>
          <w:lang w:eastAsia="en-GB"/>
        </w:rPr>
        <w:tab/>
      </w:r>
      <w:r w:rsidRPr="00304E78">
        <w:rPr>
          <w:rFonts w:eastAsia="Calibri"/>
          <w:b/>
          <w:bCs/>
          <w:color w:val="1074CB"/>
          <w:sz w:val="40"/>
          <w:szCs w:val="40"/>
          <w:lang w:eastAsia="en-GB"/>
        </w:rPr>
        <w:t xml:space="preserve"> </w:t>
      </w:r>
      <w:r w:rsidRPr="00304E78">
        <w:rPr>
          <w:rFonts w:eastAsia="Calibri"/>
          <w:color w:val="1074CB"/>
          <w:sz w:val="28"/>
          <w:szCs w:val="28"/>
          <w:lang w:eastAsia="en-GB"/>
        </w:rPr>
        <w:t xml:space="preserve">   </w:t>
      </w:r>
      <w:r w:rsidRPr="00304E78">
        <w:rPr>
          <w:rFonts w:eastAsia="Calibri"/>
          <w:color w:val="1074CB"/>
          <w:sz w:val="28"/>
          <w:szCs w:val="28"/>
          <w:lang w:eastAsia="en-GB"/>
        </w:rPr>
        <w:br/>
      </w:r>
      <w:r w:rsidRPr="00304E78">
        <w:rPr>
          <w:rFonts w:eastAsia="Calibri"/>
          <w:color w:val="1074CB"/>
          <w:sz w:val="40"/>
          <w:szCs w:val="40"/>
          <w:lang w:eastAsia="en-GB"/>
        </w:rPr>
        <w:t>16 November 2023</w:t>
      </w:r>
      <w:r w:rsidRPr="00304E78">
        <w:rPr>
          <w:rFonts w:eastAsia="Calibri"/>
          <w:b/>
          <w:bCs/>
          <w:color w:val="1074CB"/>
          <w:lang w:eastAsia="en-GB"/>
        </w:rPr>
        <w:t xml:space="preserve"> </w:t>
      </w:r>
      <w:r w:rsidRPr="00304E78">
        <w:rPr>
          <w:rFonts w:eastAsia="Calibri"/>
          <w:color w:val="1074CB"/>
          <w:sz w:val="32"/>
          <w:szCs w:val="32"/>
          <w:lang w:eastAsia="en-GB"/>
        </w:rPr>
        <w:t xml:space="preserve">(data for Q3 2023) </w:t>
      </w:r>
      <w:r>
        <w:rPr>
          <w:rFonts w:eastAsia="Calibri"/>
          <w:color w:val="1074CB"/>
          <w:sz w:val="32"/>
          <w:szCs w:val="32"/>
          <w:lang w:eastAsia="en-GB"/>
        </w:rPr>
        <w:tab/>
      </w:r>
      <w:r w:rsidRPr="00304E78">
        <w:rPr>
          <w:rFonts w:eastAsia="Calibri"/>
          <w:color w:val="1074CB"/>
          <w:sz w:val="32"/>
          <w:szCs w:val="32"/>
          <w:lang w:eastAsia="en-GB"/>
        </w:rPr>
        <w:t xml:space="preserve">     </w:t>
      </w:r>
      <w:r w:rsidRPr="00304E78">
        <w:rPr>
          <w:rFonts w:eastAsia="Calibri"/>
          <w:color w:val="1074CB"/>
          <w:sz w:val="32"/>
          <w:szCs w:val="32"/>
          <w:lang w:eastAsia="en-GB"/>
        </w:rPr>
        <w:br/>
      </w:r>
      <w:r w:rsidRPr="00304E78">
        <w:rPr>
          <w:rFonts w:eastAsia="Calibri"/>
          <w:b/>
          <w:bCs/>
          <w:color w:val="000000"/>
          <w:lang w:eastAsia="en-GB"/>
        </w:rPr>
        <w:t>Hi-res charts available via Dropbox:</w:t>
      </w:r>
      <w:r w:rsidR="00A15D83">
        <w:rPr>
          <w:rFonts w:eastAsia="Calibri"/>
          <w:b/>
          <w:bCs/>
          <w:color w:val="000000"/>
          <w:lang w:eastAsia="en-GB"/>
        </w:rPr>
        <w:tab/>
      </w:r>
      <w:r w:rsidR="00AB67B2">
        <w:rPr>
          <w:rFonts w:eastAsia="Calibri"/>
          <w:b/>
          <w:bCs/>
          <w:color w:val="000000"/>
          <w:lang w:eastAsia="en-GB"/>
        </w:rPr>
        <w:br/>
      </w:r>
      <w:hyperlink r:id="rId5" w:history="1">
        <w:r w:rsidR="0056334F" w:rsidRPr="0092290E">
          <w:rPr>
            <w:rStyle w:val="Hyperlink"/>
            <w:rFonts w:eastAsia="Calibri"/>
            <w:b/>
            <w:bCs/>
            <w:color w:val="4472C4" w:themeColor="accent1"/>
            <w:lang w:eastAsia="en-GB"/>
          </w:rPr>
          <w:t>https://www.dropbox.com/sh/olb5g0wl8wot4my/AAATFS7J9tQ_HSBgY64epYLha?dl=0</w:t>
        </w:r>
      </w:hyperlink>
      <w:r w:rsidR="0056334F" w:rsidRPr="0092290E">
        <w:rPr>
          <w:rFonts w:eastAsia="Calibri"/>
          <w:b/>
          <w:bCs/>
          <w:color w:val="4472C4" w:themeColor="accent1"/>
          <w:lang w:eastAsia="en-GB"/>
        </w:rPr>
        <w:t xml:space="preserve"> </w:t>
      </w:r>
    </w:p>
    <w:p w14:paraId="1C960561" w14:textId="77777777" w:rsidR="009B23AA" w:rsidRPr="00304E78" w:rsidRDefault="009B23AA" w:rsidP="009B23AA">
      <w:pPr>
        <w:shd w:val="clear" w:color="auto" w:fill="FFFFFF"/>
        <w:spacing w:line="276" w:lineRule="auto"/>
        <w:jc w:val="both"/>
        <w:rPr>
          <w:rFonts w:ascii="Calibri" w:eastAsia="Calibri" w:hAnsi="Calibri" w:cs="Calibri"/>
          <w:sz w:val="22"/>
          <w:szCs w:val="22"/>
          <w:lang w:eastAsia="en-GB"/>
        </w:rPr>
      </w:pPr>
      <w:r w:rsidRPr="00304E78">
        <w:rPr>
          <w:rFonts w:eastAsia="Calibri"/>
          <w:b/>
          <w:bCs/>
          <w:color w:val="1074CB"/>
          <w:sz w:val="32"/>
          <w:szCs w:val="32"/>
          <w:lang w:eastAsia="en-GB"/>
        </w:rPr>
        <w:t>Record zero emission truck uptake as HGV market grows for sixth quarter running</w:t>
      </w:r>
    </w:p>
    <w:p w14:paraId="42591954" w14:textId="77777777" w:rsidR="009B23AA" w:rsidRPr="00304E78" w:rsidRDefault="009B23AA" w:rsidP="009B23AA">
      <w:pPr>
        <w:shd w:val="clear" w:color="auto" w:fill="FFFFFF"/>
        <w:spacing w:line="276" w:lineRule="auto"/>
        <w:jc w:val="both"/>
        <w:rPr>
          <w:rFonts w:ascii="Calibri" w:eastAsia="Calibri" w:hAnsi="Calibri" w:cs="Calibri"/>
          <w:sz w:val="22"/>
          <w:szCs w:val="22"/>
          <w:lang w:eastAsia="en-GB"/>
        </w:rPr>
      </w:pPr>
      <w:r w:rsidRPr="00304E78">
        <w:rPr>
          <w:rFonts w:eastAsia="Calibri"/>
          <w:color w:val="000000"/>
          <w:sz w:val="24"/>
          <w:szCs w:val="24"/>
          <w:lang w:eastAsia="en-GB"/>
        </w:rPr>
        <w:t> </w:t>
      </w:r>
    </w:p>
    <w:p w14:paraId="6F2D831B" w14:textId="77777777" w:rsidR="009B23AA" w:rsidRPr="00304E78" w:rsidRDefault="009B23AA" w:rsidP="009B23AA">
      <w:pPr>
        <w:numPr>
          <w:ilvl w:val="0"/>
          <w:numId w:val="1"/>
        </w:numPr>
        <w:shd w:val="clear" w:color="auto" w:fill="FFFFFF"/>
        <w:spacing w:line="276" w:lineRule="auto"/>
        <w:contextualSpacing/>
        <w:jc w:val="both"/>
        <w:rPr>
          <w:rFonts w:ascii="Calibri" w:eastAsia="Times New Roman" w:hAnsi="Calibri" w:cs="Calibri"/>
          <w:color w:val="000000"/>
          <w:lang w:eastAsia="en-GB"/>
        </w:rPr>
      </w:pPr>
      <w:r w:rsidRPr="00304E78">
        <w:rPr>
          <w:rFonts w:eastAsia="Times New Roman"/>
          <w:color w:val="000000"/>
          <w:lang w:eastAsia="en-GB"/>
        </w:rPr>
        <w:t>New heavy goods vehicle (HGV) registrations rise by 14.9% to 11,531 units in the third quarter of 2023 as pre-pandemic levels of fleet renewal continue.</w:t>
      </w:r>
    </w:p>
    <w:p w14:paraId="400B899C" w14:textId="77777777" w:rsidR="009B23AA" w:rsidRPr="00304E78" w:rsidRDefault="009B23AA" w:rsidP="009B23AA">
      <w:pPr>
        <w:numPr>
          <w:ilvl w:val="0"/>
          <w:numId w:val="1"/>
        </w:numPr>
        <w:shd w:val="clear" w:color="auto" w:fill="FFFFFF"/>
        <w:spacing w:line="276" w:lineRule="auto"/>
        <w:contextualSpacing/>
        <w:jc w:val="both"/>
        <w:rPr>
          <w:rFonts w:ascii="Calibri" w:eastAsia="Times New Roman" w:hAnsi="Calibri" w:cs="Calibri"/>
          <w:color w:val="000000"/>
          <w:lang w:eastAsia="en-GB"/>
        </w:rPr>
      </w:pPr>
      <w:r w:rsidRPr="00304E78">
        <w:rPr>
          <w:rFonts w:eastAsia="Times New Roman"/>
          <w:color w:val="000000"/>
          <w:lang w:eastAsia="en-GB"/>
        </w:rPr>
        <w:t>Strong demand for rigid and articulated trucks, up 13.9% and 16.1% respectively.</w:t>
      </w:r>
    </w:p>
    <w:p w14:paraId="15AB079B" w14:textId="77777777" w:rsidR="009B23AA" w:rsidRPr="00304E78" w:rsidRDefault="009B23AA" w:rsidP="009B23AA">
      <w:pPr>
        <w:numPr>
          <w:ilvl w:val="0"/>
          <w:numId w:val="1"/>
        </w:numPr>
        <w:shd w:val="clear" w:color="auto" w:fill="FFFFFF"/>
        <w:spacing w:line="276" w:lineRule="auto"/>
        <w:contextualSpacing/>
        <w:jc w:val="both"/>
        <w:rPr>
          <w:rFonts w:ascii="Calibri" w:eastAsia="Times New Roman" w:hAnsi="Calibri" w:cs="Calibri"/>
          <w:color w:val="000000"/>
          <w:lang w:eastAsia="en-GB"/>
        </w:rPr>
      </w:pPr>
      <w:r w:rsidRPr="00304E78">
        <w:rPr>
          <w:rFonts w:eastAsia="Times New Roman"/>
          <w:color w:val="000000"/>
          <w:lang w:eastAsia="en-GB"/>
        </w:rPr>
        <w:t>Zero emission trucks record biggest market share of 2023 – but uptake must be accelerated if the sector’s ambitious 2035 target is to be achieved.</w:t>
      </w:r>
    </w:p>
    <w:p w14:paraId="5D4F884B" w14:textId="77777777" w:rsidR="009B23AA" w:rsidRPr="00304E78" w:rsidRDefault="009B23AA" w:rsidP="009B23AA">
      <w:pPr>
        <w:numPr>
          <w:ilvl w:val="0"/>
          <w:numId w:val="1"/>
        </w:numPr>
        <w:shd w:val="clear" w:color="auto" w:fill="FFFFFF"/>
        <w:spacing w:line="276" w:lineRule="auto"/>
        <w:contextualSpacing/>
        <w:jc w:val="both"/>
        <w:rPr>
          <w:rFonts w:ascii="Calibri" w:eastAsia="Times New Roman" w:hAnsi="Calibri" w:cs="Calibri"/>
          <w:color w:val="000000"/>
          <w:lang w:eastAsia="en-GB"/>
        </w:rPr>
      </w:pPr>
      <w:r w:rsidRPr="00304E78">
        <w:rPr>
          <w:rFonts w:eastAsia="Times New Roman"/>
          <w:color w:val="000000"/>
          <w:lang w:eastAsia="en-GB"/>
        </w:rPr>
        <w:t>As Britain gets first-ever public HGV-dedicated charger, a national plan is needed to deliver infrastructure at depots, truck rest stops and the strategic road networks in every region.</w:t>
      </w:r>
    </w:p>
    <w:p w14:paraId="4F2C8DEC" w14:textId="77777777" w:rsidR="009B23AA" w:rsidRPr="00304E78" w:rsidRDefault="009B23AA" w:rsidP="009B23AA">
      <w:pPr>
        <w:shd w:val="clear" w:color="auto" w:fill="FFFFFF"/>
        <w:spacing w:line="276" w:lineRule="auto"/>
        <w:jc w:val="both"/>
        <w:rPr>
          <w:rFonts w:ascii="Calibri" w:eastAsia="Calibri" w:hAnsi="Calibri" w:cs="Calibri"/>
          <w:lang w:eastAsia="en-GB"/>
        </w:rPr>
      </w:pPr>
      <w:r w:rsidRPr="00304E78">
        <w:rPr>
          <w:rFonts w:eastAsia="Calibri"/>
          <w:color w:val="000000"/>
          <w:lang w:eastAsia="en-GB"/>
        </w:rPr>
        <w:t> </w:t>
      </w:r>
    </w:p>
    <w:p w14:paraId="7B4D670E" w14:textId="3D6187C1" w:rsidR="009B23AA" w:rsidRPr="00304E78" w:rsidRDefault="009B23AA" w:rsidP="009B23AA">
      <w:pPr>
        <w:shd w:val="clear" w:color="auto" w:fill="FFFFFF"/>
        <w:spacing w:after="240" w:line="276" w:lineRule="auto"/>
        <w:jc w:val="both"/>
        <w:rPr>
          <w:rFonts w:eastAsia="Calibri"/>
          <w:color w:val="000000"/>
          <w:lang w:eastAsia="en-GB"/>
        </w:rPr>
      </w:pPr>
      <w:r w:rsidRPr="00304E78">
        <w:rPr>
          <w:rFonts w:eastAsia="Calibri"/>
          <w:b/>
          <w:bCs/>
          <w:color w:val="000000"/>
          <w:lang w:eastAsia="en-GB"/>
        </w:rPr>
        <w:t>Thursday 16 November, 2023</w:t>
      </w:r>
      <w:r w:rsidRPr="00304E78">
        <w:rPr>
          <w:rFonts w:eastAsia="Calibri"/>
          <w:color w:val="000000"/>
          <w:lang w:eastAsia="en-GB"/>
        </w:rPr>
        <w:t xml:space="preserve"> British demand for new heavy goods vehicles (HGVs) grew by 14.9% in the third quarter of 2023 with 11,531 trucks serving purposes from supermarket deliveries to refuse collections joining Britain’s roads, according to the latest figures published today by the Society of Motor Manufacturers and Traders (SMMT). It represents the UK’s sixth consecutive quarter of growth and the greatest number of new HGV deliveries in any quarter since the end of 2019,</w:t>
      </w:r>
      <w:r w:rsidRPr="00304E78">
        <w:rPr>
          <w:rFonts w:eastAsia="Calibri"/>
          <w:color w:val="000000"/>
          <w:vertAlign w:val="superscript"/>
          <w:lang w:eastAsia="en-GB"/>
        </w:rPr>
        <w:t>1</w:t>
      </w:r>
      <w:r w:rsidRPr="00304E78">
        <w:rPr>
          <w:rFonts w:eastAsia="Calibri"/>
          <w:color w:val="000000"/>
          <w:lang w:eastAsia="en-GB"/>
        </w:rPr>
        <w:t xml:space="preserve"> as operators invest in the latest, greenest and most efficient truck technology available. Most positively, uptake of electric and hydrogen trucks continues to rise, representing 0.8% of the market in Q3 – the largest quarterly share of 2023, compared with 0.3% and 0.4% in Q1 and Q2</w:t>
      </w:r>
      <w:r w:rsidR="00C951C5">
        <w:rPr>
          <w:rFonts w:eastAsia="Calibri"/>
          <w:color w:val="000000"/>
          <w:lang w:eastAsia="en-GB"/>
        </w:rPr>
        <w:t xml:space="preserve"> respectively.</w:t>
      </w:r>
      <w:r w:rsidRPr="00304E78">
        <w:rPr>
          <w:rFonts w:eastAsia="Calibri"/>
          <w:color w:val="000000"/>
          <w:lang w:eastAsia="en-GB"/>
        </w:rPr>
        <w:t xml:space="preserve">       </w:t>
      </w:r>
      <w:r>
        <w:rPr>
          <w:rFonts w:eastAsia="Calibri"/>
          <w:color w:val="000000"/>
          <w:lang w:eastAsia="en-GB"/>
        </w:rPr>
        <w:tab/>
      </w:r>
      <w:r w:rsidRPr="00304E78">
        <w:rPr>
          <w:rFonts w:eastAsia="Calibri"/>
          <w:color w:val="000000"/>
          <w:lang w:eastAsia="en-GB"/>
        </w:rPr>
        <w:br/>
      </w:r>
      <w:r w:rsidRPr="00304E78">
        <w:rPr>
          <w:rFonts w:eastAsia="Calibri"/>
          <w:color w:val="000000"/>
          <w:lang w:eastAsia="en-GB"/>
        </w:rPr>
        <w:br/>
        <w:t>Overall growth was driven by uptake of rigid HGVs, up 13.9% to 6,293 units, while demand for articulated trucks was also strong, rising 1</w:t>
      </w:r>
      <w:r>
        <w:rPr>
          <w:rFonts w:eastAsia="Calibri"/>
          <w:color w:val="000000"/>
          <w:lang w:eastAsia="en-GB"/>
        </w:rPr>
        <w:t>6.1</w:t>
      </w:r>
      <w:r w:rsidRPr="00304E78">
        <w:rPr>
          <w:rFonts w:eastAsia="Calibri"/>
          <w:color w:val="000000"/>
          <w:lang w:eastAsia="en-GB"/>
        </w:rPr>
        <w:t xml:space="preserve">% to </w:t>
      </w:r>
      <w:r>
        <w:rPr>
          <w:rFonts w:eastAsia="Calibri"/>
          <w:color w:val="000000"/>
          <w:lang w:eastAsia="en-GB"/>
        </w:rPr>
        <w:t>5,238</w:t>
      </w:r>
      <w:r w:rsidRPr="00304E78">
        <w:rPr>
          <w:rFonts w:eastAsia="Calibri"/>
          <w:color w:val="000000"/>
          <w:lang w:eastAsia="en-GB"/>
        </w:rPr>
        <w:t xml:space="preserve"> units</w:t>
      </w:r>
      <w:r>
        <w:rPr>
          <w:rFonts w:eastAsia="Calibri"/>
          <w:color w:val="000000"/>
          <w:lang w:eastAsia="en-GB"/>
        </w:rPr>
        <w:t>. T</w:t>
      </w:r>
      <w:r w:rsidRPr="00304E78">
        <w:rPr>
          <w:rFonts w:eastAsia="Calibri"/>
          <w:color w:val="000000"/>
          <w:lang w:eastAsia="en-GB"/>
        </w:rPr>
        <w:t xml:space="preserve">he most </w:t>
      </w:r>
      <w:r>
        <w:rPr>
          <w:rFonts w:eastAsia="Calibri"/>
          <w:color w:val="000000"/>
          <w:lang w:eastAsia="en-GB"/>
        </w:rPr>
        <w:t>popular truck body continues to be</w:t>
      </w:r>
      <w:r w:rsidRPr="00304E78">
        <w:rPr>
          <w:rFonts w:eastAsia="Calibri"/>
          <w:color w:val="000000"/>
          <w:lang w:eastAsia="en-GB"/>
        </w:rPr>
        <w:t xml:space="preserve"> tractors</w:t>
      </w:r>
      <w:r>
        <w:rPr>
          <w:rFonts w:eastAsia="Calibri"/>
          <w:color w:val="000000"/>
          <w:lang w:eastAsia="en-GB"/>
        </w:rPr>
        <w:t xml:space="preserve">, typically used for </w:t>
      </w:r>
      <w:r w:rsidRPr="00304E78">
        <w:rPr>
          <w:rFonts w:eastAsia="Calibri"/>
          <w:color w:val="000000"/>
          <w:lang w:eastAsia="en-GB"/>
        </w:rPr>
        <w:t>the largest delivery trucks</w:t>
      </w:r>
      <w:r>
        <w:rPr>
          <w:rFonts w:eastAsia="Calibri"/>
          <w:color w:val="000000"/>
          <w:lang w:eastAsia="en-GB"/>
        </w:rPr>
        <w:t>, u</w:t>
      </w:r>
      <w:r w:rsidRPr="00304E78">
        <w:rPr>
          <w:rFonts w:eastAsia="Calibri"/>
          <w:color w:val="000000"/>
          <w:lang w:eastAsia="en-GB"/>
        </w:rPr>
        <w:t>p 1</w:t>
      </w:r>
      <w:r>
        <w:rPr>
          <w:rFonts w:eastAsia="Calibri"/>
          <w:color w:val="000000"/>
          <w:lang w:eastAsia="en-GB"/>
        </w:rPr>
        <w:t>6</w:t>
      </w:r>
      <w:r w:rsidRPr="00304E78">
        <w:rPr>
          <w:rFonts w:eastAsia="Calibri"/>
          <w:color w:val="000000"/>
          <w:lang w:eastAsia="en-GB"/>
        </w:rPr>
        <w:t>.4% to represent some 4</w:t>
      </w:r>
      <w:r>
        <w:rPr>
          <w:rFonts w:eastAsia="Calibri"/>
          <w:color w:val="000000"/>
          <w:lang w:eastAsia="en-GB"/>
        </w:rPr>
        <w:t>4</w:t>
      </w:r>
      <w:r w:rsidRPr="00304E78">
        <w:rPr>
          <w:rFonts w:eastAsia="Calibri"/>
          <w:color w:val="000000"/>
          <w:lang w:eastAsia="en-GB"/>
        </w:rPr>
        <w:t>.</w:t>
      </w:r>
      <w:r>
        <w:rPr>
          <w:rFonts w:eastAsia="Calibri"/>
          <w:color w:val="000000"/>
          <w:lang w:eastAsia="en-GB"/>
        </w:rPr>
        <w:t>5</w:t>
      </w:r>
      <w:r w:rsidRPr="00304E78">
        <w:rPr>
          <w:rFonts w:eastAsia="Calibri"/>
          <w:color w:val="000000"/>
          <w:lang w:eastAsia="en-GB"/>
        </w:rPr>
        <w:t>% of the market</w:t>
      </w:r>
      <w:r>
        <w:rPr>
          <w:rFonts w:eastAsia="Calibri"/>
          <w:color w:val="000000"/>
          <w:lang w:eastAsia="en-GB"/>
        </w:rPr>
        <w:t>. There was also a rise in demand for b</w:t>
      </w:r>
      <w:r w:rsidRPr="00304E78">
        <w:rPr>
          <w:rFonts w:eastAsia="Calibri"/>
          <w:color w:val="000000"/>
          <w:lang w:eastAsia="en-GB"/>
        </w:rPr>
        <w:t>ox vans</w:t>
      </w:r>
      <w:r>
        <w:rPr>
          <w:rFonts w:eastAsia="Calibri"/>
          <w:color w:val="000000"/>
          <w:lang w:eastAsia="en-GB"/>
        </w:rPr>
        <w:t xml:space="preserve"> – </w:t>
      </w:r>
      <w:r w:rsidRPr="00304E78">
        <w:rPr>
          <w:rFonts w:eastAsia="Calibri"/>
          <w:color w:val="000000"/>
          <w:lang w:eastAsia="en-GB"/>
        </w:rPr>
        <w:t>slightly smaller delivery trucks</w:t>
      </w:r>
      <w:r>
        <w:rPr>
          <w:rFonts w:eastAsia="Calibri"/>
          <w:color w:val="000000"/>
          <w:lang w:eastAsia="en-GB"/>
        </w:rPr>
        <w:t xml:space="preserve"> – with registrations up 11.8%, while uptake of</w:t>
      </w:r>
      <w:r w:rsidRPr="00304E78">
        <w:rPr>
          <w:rFonts w:eastAsia="Calibri"/>
          <w:color w:val="000000"/>
          <w:lang w:eastAsia="en-GB"/>
        </w:rPr>
        <w:t xml:space="preserve"> curtain-sided trucks and refuse vehicles increased by </w:t>
      </w:r>
      <w:r>
        <w:rPr>
          <w:rFonts w:eastAsia="Calibri"/>
          <w:color w:val="000000"/>
          <w:lang w:eastAsia="en-GB"/>
        </w:rPr>
        <w:t>62.5</w:t>
      </w:r>
      <w:r w:rsidRPr="00304E78">
        <w:rPr>
          <w:rFonts w:eastAsia="Calibri"/>
          <w:color w:val="000000"/>
          <w:lang w:eastAsia="en-GB"/>
        </w:rPr>
        <w:t>% and 1</w:t>
      </w:r>
      <w:r>
        <w:rPr>
          <w:rFonts w:eastAsia="Calibri"/>
          <w:color w:val="000000"/>
          <w:lang w:eastAsia="en-GB"/>
        </w:rPr>
        <w:t>6.6</w:t>
      </w:r>
      <w:r w:rsidRPr="00304E78">
        <w:rPr>
          <w:rFonts w:eastAsia="Calibri"/>
          <w:color w:val="000000"/>
          <w:lang w:eastAsia="en-GB"/>
        </w:rPr>
        <w:t>% respectively. Tipper registrations declined, however, down -</w:t>
      </w:r>
      <w:r>
        <w:rPr>
          <w:rFonts w:eastAsia="Calibri"/>
          <w:color w:val="000000"/>
          <w:lang w:eastAsia="en-GB"/>
        </w:rPr>
        <w:t>9.7</w:t>
      </w:r>
      <w:r w:rsidRPr="00304E78">
        <w:rPr>
          <w:rFonts w:eastAsia="Calibri"/>
          <w:color w:val="000000"/>
          <w:lang w:eastAsia="en-GB"/>
        </w:rPr>
        <w:t xml:space="preserve">% compared with a strong third quarter in 2022.        </w:t>
      </w:r>
    </w:p>
    <w:p w14:paraId="6377797F" w14:textId="6893337F" w:rsidR="009B23AA" w:rsidRPr="00304E78" w:rsidRDefault="009B23AA" w:rsidP="009B23AA">
      <w:pPr>
        <w:shd w:val="clear" w:color="auto" w:fill="FFFFFF"/>
        <w:spacing w:line="276" w:lineRule="auto"/>
        <w:jc w:val="both"/>
        <w:rPr>
          <w:rFonts w:eastAsia="Calibri"/>
          <w:color w:val="000000"/>
          <w:lang w:eastAsia="en-GB"/>
        </w:rPr>
      </w:pPr>
      <w:r>
        <w:rPr>
          <w:rFonts w:eastAsia="Calibri"/>
          <w:color w:val="000000"/>
          <w:lang w:eastAsia="en-GB"/>
        </w:rPr>
        <w:t>HGV</w:t>
      </w:r>
      <w:r w:rsidRPr="00304E78">
        <w:rPr>
          <w:rFonts w:eastAsia="Calibri"/>
          <w:color w:val="000000"/>
          <w:lang w:eastAsia="en-GB"/>
        </w:rPr>
        <w:t xml:space="preserve"> operators in every UK nation </w:t>
      </w:r>
      <w:r>
        <w:rPr>
          <w:rFonts w:eastAsia="Calibri"/>
          <w:color w:val="000000"/>
          <w:lang w:eastAsia="en-GB"/>
        </w:rPr>
        <w:t>continue to</w:t>
      </w:r>
      <w:r w:rsidRPr="00304E78">
        <w:rPr>
          <w:rFonts w:eastAsia="Calibri"/>
          <w:color w:val="000000"/>
          <w:lang w:eastAsia="en-GB"/>
        </w:rPr>
        <w:t xml:space="preserve"> mak</w:t>
      </w:r>
      <w:r>
        <w:rPr>
          <w:rFonts w:eastAsia="Calibri"/>
          <w:color w:val="000000"/>
          <w:lang w:eastAsia="en-GB"/>
        </w:rPr>
        <w:t>e</w:t>
      </w:r>
      <w:r w:rsidRPr="00304E78">
        <w:rPr>
          <w:rFonts w:eastAsia="Calibri"/>
          <w:color w:val="000000"/>
          <w:lang w:eastAsia="en-GB"/>
        </w:rPr>
        <w:t xml:space="preserve"> vehicle investments, the vast majority (87.7%) in England</w:t>
      </w:r>
      <w:r>
        <w:rPr>
          <w:rFonts w:eastAsia="Calibri"/>
          <w:color w:val="000000"/>
          <w:lang w:eastAsia="en-GB"/>
        </w:rPr>
        <w:t xml:space="preserve"> in Q3</w:t>
      </w:r>
      <w:r w:rsidRPr="00304E78">
        <w:rPr>
          <w:rFonts w:eastAsia="Calibri"/>
          <w:color w:val="000000"/>
          <w:lang w:eastAsia="en-GB"/>
        </w:rPr>
        <w:t xml:space="preserve">, </w:t>
      </w:r>
      <w:r>
        <w:rPr>
          <w:rFonts w:eastAsia="Calibri"/>
          <w:color w:val="000000"/>
          <w:lang w:eastAsia="en-GB"/>
        </w:rPr>
        <w:t>with</w:t>
      </w:r>
      <w:r w:rsidRPr="00304E78">
        <w:rPr>
          <w:rFonts w:eastAsia="Calibri"/>
          <w:color w:val="000000"/>
          <w:lang w:eastAsia="en-GB"/>
        </w:rPr>
        <w:t xml:space="preserve"> registrations </w:t>
      </w:r>
      <w:r>
        <w:rPr>
          <w:rFonts w:eastAsia="Calibri"/>
          <w:color w:val="000000"/>
          <w:lang w:eastAsia="en-GB"/>
        </w:rPr>
        <w:t>up</w:t>
      </w:r>
      <w:r w:rsidRPr="00304E78">
        <w:rPr>
          <w:rFonts w:eastAsia="Calibri"/>
          <w:color w:val="000000"/>
          <w:lang w:eastAsia="en-GB"/>
        </w:rPr>
        <w:t xml:space="preserve"> 1</w:t>
      </w:r>
      <w:r>
        <w:rPr>
          <w:rFonts w:eastAsia="Calibri"/>
          <w:color w:val="000000"/>
          <w:lang w:eastAsia="en-GB"/>
        </w:rPr>
        <w:t>3.9</w:t>
      </w:r>
      <w:r w:rsidRPr="00304E78">
        <w:rPr>
          <w:rFonts w:eastAsia="Calibri"/>
          <w:color w:val="000000"/>
          <w:lang w:eastAsia="en-GB"/>
        </w:rPr>
        <w:t>% to 10,109 units.</w:t>
      </w:r>
      <w:r>
        <w:rPr>
          <w:rFonts w:eastAsia="Calibri"/>
          <w:color w:val="000000"/>
          <w:lang w:eastAsia="en-GB"/>
        </w:rPr>
        <w:t xml:space="preserve"> Truck fleet renewal in Scotland and Wales rose by</w:t>
      </w:r>
      <w:r w:rsidRPr="00304E78">
        <w:rPr>
          <w:rFonts w:eastAsia="Calibri"/>
          <w:color w:val="000000"/>
          <w:lang w:eastAsia="en-GB"/>
        </w:rPr>
        <w:t xml:space="preserve"> </w:t>
      </w:r>
      <w:r>
        <w:rPr>
          <w:rFonts w:eastAsia="Calibri"/>
          <w:color w:val="000000"/>
          <w:lang w:eastAsia="en-GB"/>
        </w:rPr>
        <w:t>16.5</w:t>
      </w:r>
      <w:r w:rsidRPr="00304E78">
        <w:rPr>
          <w:rFonts w:eastAsia="Calibri"/>
          <w:color w:val="000000"/>
          <w:lang w:eastAsia="en-GB"/>
        </w:rPr>
        <w:t>%</w:t>
      </w:r>
      <w:r>
        <w:rPr>
          <w:rFonts w:eastAsia="Calibri"/>
          <w:color w:val="000000"/>
          <w:lang w:eastAsia="en-GB"/>
        </w:rPr>
        <w:t xml:space="preserve"> and 9.2% respectively</w:t>
      </w:r>
      <w:r w:rsidRPr="00304E78">
        <w:rPr>
          <w:rFonts w:eastAsia="Calibri"/>
          <w:color w:val="000000"/>
          <w:lang w:eastAsia="en-GB"/>
        </w:rPr>
        <w:t xml:space="preserve">, while Northern Ireland </w:t>
      </w:r>
      <w:r>
        <w:rPr>
          <w:rFonts w:eastAsia="Calibri"/>
          <w:color w:val="000000"/>
          <w:lang w:eastAsia="en-GB"/>
        </w:rPr>
        <w:t xml:space="preserve">saw the biggest increase, up 64.6%. </w:t>
      </w:r>
      <w:r w:rsidRPr="00304E78">
        <w:rPr>
          <w:rFonts w:eastAsia="Calibri"/>
          <w:color w:val="000000"/>
          <w:lang w:eastAsia="en-GB"/>
        </w:rPr>
        <w:t>The top UK region for truck investment continues to be South East England – where some of Britain’s largest ports are located –</w:t>
      </w:r>
      <w:r>
        <w:rPr>
          <w:rFonts w:eastAsia="Calibri"/>
          <w:color w:val="000000"/>
          <w:lang w:eastAsia="en-GB"/>
        </w:rPr>
        <w:t xml:space="preserve"> </w:t>
      </w:r>
      <w:r w:rsidRPr="00304E78">
        <w:rPr>
          <w:rFonts w:eastAsia="Calibri"/>
          <w:color w:val="000000"/>
          <w:lang w:eastAsia="en-GB"/>
        </w:rPr>
        <w:t>with 2,438 new HGVs entering service</w:t>
      </w:r>
      <w:r>
        <w:rPr>
          <w:rFonts w:eastAsia="Calibri"/>
          <w:color w:val="000000"/>
          <w:lang w:eastAsia="en-GB"/>
        </w:rPr>
        <w:t xml:space="preserve"> there, </w:t>
      </w:r>
      <w:r w:rsidRPr="00304E78">
        <w:rPr>
          <w:rFonts w:eastAsia="Calibri"/>
          <w:color w:val="000000"/>
          <w:lang w:eastAsia="en-GB"/>
        </w:rPr>
        <w:t>accounting for more than one in five</w:t>
      </w:r>
      <w:r w:rsidR="00882F2D">
        <w:rPr>
          <w:rFonts w:eastAsia="Calibri"/>
          <w:color w:val="000000"/>
          <w:lang w:eastAsia="en-GB"/>
        </w:rPr>
        <w:t xml:space="preserve"> (21.2%)</w:t>
      </w:r>
      <w:r w:rsidRPr="00304E78">
        <w:rPr>
          <w:rFonts w:eastAsia="Calibri"/>
          <w:color w:val="000000"/>
          <w:lang w:eastAsia="en-GB"/>
        </w:rPr>
        <w:t xml:space="preserve"> registrations. North West England and the West Midlands were the second and third hottest spots for HGV renewal, registering 1,599 units and 1,445 units respectively.</w:t>
      </w:r>
    </w:p>
    <w:p w14:paraId="797CEF40" w14:textId="77777777" w:rsidR="009B23AA" w:rsidRPr="00304E78" w:rsidRDefault="009B23AA" w:rsidP="009B23AA">
      <w:pPr>
        <w:shd w:val="clear" w:color="auto" w:fill="FFFFFF"/>
        <w:spacing w:line="276" w:lineRule="auto"/>
        <w:jc w:val="both"/>
        <w:rPr>
          <w:rFonts w:ascii="Calibri" w:eastAsia="Calibri" w:hAnsi="Calibri" w:cs="Calibri"/>
          <w:lang w:eastAsia="en-GB"/>
        </w:rPr>
      </w:pPr>
      <w:r w:rsidRPr="00304E78">
        <w:rPr>
          <w:rFonts w:eastAsia="Calibri"/>
          <w:color w:val="000000"/>
          <w:lang w:eastAsia="en-GB"/>
        </w:rPr>
        <w:t> </w:t>
      </w:r>
    </w:p>
    <w:p w14:paraId="48F35C97" w14:textId="07CA438D" w:rsidR="009B23AA" w:rsidRPr="00304E78" w:rsidRDefault="009B23AA" w:rsidP="009B23AA">
      <w:pPr>
        <w:shd w:val="clear" w:color="auto" w:fill="FFFFFF"/>
        <w:spacing w:after="240" w:line="276" w:lineRule="auto"/>
        <w:jc w:val="both"/>
        <w:rPr>
          <w:rFonts w:eastAsia="Calibri"/>
          <w:color w:val="000000"/>
          <w:lang w:eastAsia="en-GB"/>
        </w:rPr>
      </w:pPr>
      <w:r w:rsidRPr="00304E78">
        <w:rPr>
          <w:rFonts w:eastAsia="Calibri"/>
          <w:color w:val="000000"/>
          <w:lang w:eastAsia="en-GB"/>
        </w:rPr>
        <w:t>In 2023 to date, truck registrations have grown by 16.4% to 34,222 units, just 5.0% below 2019 levels</w:t>
      </w:r>
      <w:r w:rsidRPr="00304E78">
        <w:rPr>
          <w:rFonts w:eastAsia="Calibri"/>
          <w:color w:val="000000"/>
          <w:vertAlign w:val="superscript"/>
          <w:lang w:eastAsia="en-GB"/>
        </w:rPr>
        <w:t>2</w:t>
      </w:r>
      <w:r w:rsidRPr="00304E78">
        <w:rPr>
          <w:rFonts w:eastAsia="Calibri"/>
          <w:color w:val="000000"/>
          <w:lang w:eastAsia="en-GB"/>
        </w:rPr>
        <w:t xml:space="preserve"> – with registrations having increased in every quarter since </w:t>
      </w:r>
      <w:r w:rsidR="00E37F46">
        <w:rPr>
          <w:rFonts w:eastAsia="Calibri"/>
          <w:color w:val="000000"/>
          <w:lang w:eastAsia="en-GB"/>
        </w:rPr>
        <w:t>Q2</w:t>
      </w:r>
      <w:r w:rsidRPr="00304E78">
        <w:rPr>
          <w:rFonts w:eastAsia="Calibri"/>
          <w:color w:val="000000"/>
          <w:lang w:eastAsia="en-GB"/>
        </w:rPr>
        <w:t xml:space="preserve"> 2022, as reducing supply chain challenges help to fulfil robust demand.            </w:t>
      </w:r>
    </w:p>
    <w:p w14:paraId="3B33EDE3" w14:textId="79F27BE0" w:rsidR="009B23AA" w:rsidRPr="00304E78" w:rsidRDefault="009B23AA" w:rsidP="009B23AA">
      <w:pPr>
        <w:shd w:val="clear" w:color="auto" w:fill="FFFFFF"/>
        <w:spacing w:line="276" w:lineRule="auto"/>
        <w:jc w:val="both"/>
        <w:rPr>
          <w:rFonts w:eastAsia="Calibri"/>
          <w:color w:val="000000"/>
          <w:lang w:eastAsia="en-GB"/>
        </w:rPr>
      </w:pPr>
      <w:r w:rsidRPr="00304E78">
        <w:rPr>
          <w:rFonts w:eastAsia="Calibri"/>
          <w:color w:val="000000"/>
          <w:lang w:eastAsia="en-GB"/>
        </w:rPr>
        <w:t xml:space="preserve">While zero emission truck uptake has reached record levels, </w:t>
      </w:r>
      <w:r>
        <w:rPr>
          <w:rFonts w:eastAsia="Calibri"/>
          <w:color w:val="000000"/>
          <w:lang w:eastAsia="en-GB"/>
        </w:rPr>
        <w:t>its</w:t>
      </w:r>
      <w:r w:rsidRPr="00304E78">
        <w:rPr>
          <w:rFonts w:eastAsia="Calibri"/>
          <w:color w:val="000000"/>
          <w:lang w:eastAsia="en-GB"/>
        </w:rPr>
        <w:t xml:space="preserve"> share is still a fraction of the entire HGV market, and the sector’s transition needs to be accelerated given its time-critical ambitions. </w:t>
      </w:r>
      <w:r>
        <w:rPr>
          <w:rFonts w:eastAsia="Calibri"/>
          <w:color w:val="000000"/>
          <w:lang w:eastAsia="en-GB"/>
        </w:rPr>
        <w:t>With n</w:t>
      </w:r>
      <w:r w:rsidRPr="00304E78">
        <w:rPr>
          <w:rFonts w:eastAsia="Calibri"/>
          <w:color w:val="000000"/>
          <w:lang w:eastAsia="en-GB"/>
        </w:rPr>
        <w:t>ew registrations of non-zero emission HGVs weighing under 26 tonnes</w:t>
      </w:r>
      <w:r>
        <w:rPr>
          <w:rFonts w:eastAsia="Calibri"/>
          <w:color w:val="000000"/>
          <w:lang w:eastAsia="en-GB"/>
        </w:rPr>
        <w:t xml:space="preserve"> are</w:t>
      </w:r>
      <w:r w:rsidRPr="00304E78">
        <w:rPr>
          <w:rFonts w:eastAsia="Calibri"/>
          <w:color w:val="000000"/>
          <w:lang w:eastAsia="en-GB"/>
        </w:rPr>
        <w:t xml:space="preserve"> due to end in 2035</w:t>
      </w:r>
      <w:r>
        <w:rPr>
          <w:rFonts w:eastAsia="Calibri"/>
          <w:color w:val="000000"/>
          <w:lang w:eastAsia="en-GB"/>
        </w:rPr>
        <w:t xml:space="preserve"> – </w:t>
      </w:r>
      <w:r w:rsidRPr="00304E78">
        <w:rPr>
          <w:rFonts w:eastAsia="Calibri"/>
          <w:color w:val="000000"/>
          <w:lang w:eastAsia="en-GB"/>
        </w:rPr>
        <w:t>the same date as cars and vans</w:t>
      </w:r>
      <w:r>
        <w:rPr>
          <w:rFonts w:eastAsia="Calibri"/>
          <w:color w:val="000000"/>
          <w:lang w:eastAsia="en-GB"/>
        </w:rPr>
        <w:t xml:space="preserve"> – </w:t>
      </w:r>
      <w:r w:rsidRPr="00304E78">
        <w:rPr>
          <w:rFonts w:eastAsia="Calibri"/>
          <w:color w:val="000000"/>
          <w:lang w:eastAsia="en-GB"/>
        </w:rPr>
        <w:t>zero emission vehicles represent just one in 1</w:t>
      </w:r>
      <w:r w:rsidR="00C951C5">
        <w:rPr>
          <w:rFonts w:eastAsia="Calibri"/>
          <w:color w:val="000000"/>
          <w:lang w:eastAsia="en-GB"/>
        </w:rPr>
        <w:t>19</w:t>
      </w:r>
      <w:r w:rsidRPr="00304E78">
        <w:rPr>
          <w:rFonts w:eastAsia="Calibri"/>
          <w:color w:val="000000"/>
          <w:lang w:eastAsia="en-GB"/>
        </w:rPr>
        <w:t xml:space="preserve"> new trucks</w:t>
      </w:r>
      <w:r>
        <w:rPr>
          <w:rFonts w:eastAsia="Calibri"/>
          <w:color w:val="000000"/>
          <w:lang w:eastAsia="en-GB"/>
        </w:rPr>
        <w:t xml:space="preserve">, </w:t>
      </w:r>
      <w:r w:rsidRPr="00304E78">
        <w:rPr>
          <w:rFonts w:eastAsia="Calibri"/>
          <w:color w:val="000000"/>
          <w:lang w:eastAsia="en-GB"/>
        </w:rPr>
        <w:t xml:space="preserve">compared with </w:t>
      </w:r>
      <w:r w:rsidRPr="00304E78">
        <w:rPr>
          <w:rFonts w:eastAsia="Calibri"/>
          <w:color w:val="000000"/>
          <w:lang w:eastAsia="en-GB"/>
        </w:rPr>
        <w:lastRenderedPageBreak/>
        <w:t xml:space="preserve">one in five new cars and one in 20 new vans. Operators need confidence to make the switch but have acute concerns over the lack of public chargepoint infrastructure, given their dependence on commercially viable logistics </w:t>
      </w:r>
      <w:r>
        <w:rPr>
          <w:rFonts w:eastAsia="Calibri"/>
          <w:color w:val="000000"/>
          <w:lang w:eastAsia="en-GB"/>
        </w:rPr>
        <w:t xml:space="preserve">in order </w:t>
      </w:r>
      <w:r w:rsidRPr="00304E78">
        <w:rPr>
          <w:rFonts w:eastAsia="Calibri"/>
          <w:color w:val="000000"/>
          <w:lang w:eastAsia="en-GB"/>
        </w:rPr>
        <w:t xml:space="preserve">to </w:t>
      </w:r>
      <w:r>
        <w:rPr>
          <w:rFonts w:eastAsia="Calibri"/>
          <w:color w:val="000000"/>
          <w:lang w:eastAsia="en-GB"/>
        </w:rPr>
        <w:t>meet</w:t>
      </w:r>
      <w:r w:rsidRPr="00304E78">
        <w:rPr>
          <w:rFonts w:eastAsia="Calibri"/>
          <w:color w:val="000000"/>
          <w:lang w:eastAsia="en-GB"/>
        </w:rPr>
        <w:t xml:space="preserve"> tight business margins.</w:t>
      </w:r>
    </w:p>
    <w:p w14:paraId="5239FFEB" w14:textId="77777777" w:rsidR="009B23AA" w:rsidRPr="00304E78" w:rsidRDefault="009B23AA" w:rsidP="009B23AA">
      <w:pPr>
        <w:shd w:val="clear" w:color="auto" w:fill="FFFFFF"/>
        <w:spacing w:line="276" w:lineRule="auto"/>
        <w:jc w:val="both"/>
        <w:rPr>
          <w:rFonts w:eastAsia="Calibri"/>
          <w:color w:val="000000"/>
          <w:lang w:eastAsia="en-GB"/>
        </w:rPr>
      </w:pPr>
    </w:p>
    <w:p w14:paraId="161BCE23" w14:textId="77777777" w:rsidR="009B23AA" w:rsidRPr="00304E78" w:rsidRDefault="009B23AA" w:rsidP="009B23AA">
      <w:pPr>
        <w:shd w:val="clear" w:color="auto" w:fill="FFFFFF"/>
        <w:spacing w:line="276" w:lineRule="auto"/>
        <w:jc w:val="both"/>
        <w:rPr>
          <w:rFonts w:eastAsia="Calibri"/>
          <w:color w:val="000000"/>
          <w:lang w:eastAsia="en-GB"/>
        </w:rPr>
      </w:pPr>
      <w:r w:rsidRPr="00304E78">
        <w:rPr>
          <w:rFonts w:eastAsia="Calibri"/>
          <w:color w:val="000000"/>
          <w:lang w:eastAsia="en-GB"/>
        </w:rPr>
        <w:t>With Britain’s first</w:t>
      </w:r>
      <w:r>
        <w:rPr>
          <w:rFonts w:eastAsia="Calibri"/>
          <w:color w:val="000000"/>
          <w:lang w:eastAsia="en-GB"/>
        </w:rPr>
        <w:t>-</w:t>
      </w:r>
      <w:r w:rsidRPr="00304E78">
        <w:rPr>
          <w:rFonts w:eastAsia="Calibri"/>
          <w:color w:val="000000"/>
          <w:lang w:eastAsia="en-GB"/>
        </w:rPr>
        <w:t>ever truck-dedicated public chargepoint opening in the North West last month,</w:t>
      </w:r>
      <w:r w:rsidRPr="00304E78">
        <w:rPr>
          <w:rFonts w:eastAsia="Calibri"/>
          <w:color w:val="000000"/>
          <w:vertAlign w:val="superscript"/>
          <w:lang w:eastAsia="en-GB"/>
        </w:rPr>
        <w:t>3</w:t>
      </w:r>
      <w:r w:rsidRPr="00304E78">
        <w:rPr>
          <w:rFonts w:eastAsia="Calibri"/>
          <w:color w:val="000000"/>
          <w:lang w:eastAsia="en-GB"/>
        </w:rPr>
        <w:t xml:space="preserve"> the ambition must be to deliver charging infrastructure at depots, truck rest stops and the strategic road network in every UK region – helping convert strong HGV demand into green growth </w:t>
      </w:r>
      <w:r>
        <w:rPr>
          <w:rFonts w:eastAsia="Calibri"/>
          <w:color w:val="000000"/>
          <w:lang w:eastAsia="en-GB"/>
        </w:rPr>
        <w:t>for</w:t>
      </w:r>
      <w:r w:rsidRPr="00304E78">
        <w:rPr>
          <w:rFonts w:eastAsia="Calibri"/>
          <w:color w:val="000000"/>
          <w:lang w:eastAsia="en-GB"/>
        </w:rPr>
        <w:t xml:space="preserve"> fleets of all sizes.</w:t>
      </w:r>
    </w:p>
    <w:p w14:paraId="43BFE08B" w14:textId="77777777" w:rsidR="009B23AA" w:rsidRPr="00304E78" w:rsidRDefault="009B23AA" w:rsidP="009B23AA">
      <w:pPr>
        <w:shd w:val="clear" w:color="auto" w:fill="FFFFFF"/>
        <w:spacing w:line="276" w:lineRule="auto"/>
        <w:jc w:val="both"/>
        <w:rPr>
          <w:rFonts w:ascii="Calibri" w:eastAsia="Calibri" w:hAnsi="Calibri" w:cs="Calibri"/>
          <w:lang w:eastAsia="en-GB"/>
        </w:rPr>
      </w:pPr>
      <w:r w:rsidRPr="00304E78">
        <w:rPr>
          <w:rFonts w:eastAsia="Calibri"/>
          <w:color w:val="000000"/>
          <w:lang w:eastAsia="en-GB"/>
        </w:rPr>
        <w:t> </w:t>
      </w:r>
    </w:p>
    <w:p w14:paraId="33160771" w14:textId="04EF04FB" w:rsidR="009B23AA" w:rsidRDefault="009B23AA" w:rsidP="009B23AA">
      <w:pPr>
        <w:spacing w:line="276" w:lineRule="auto"/>
        <w:rPr>
          <w:rFonts w:eastAsia="Calibri"/>
          <w:color w:val="000000"/>
          <w:lang w:eastAsia="en-GB"/>
        </w:rPr>
      </w:pPr>
      <w:r w:rsidRPr="00304E78">
        <w:rPr>
          <w:rFonts w:eastAsia="Calibri"/>
          <w:b/>
          <w:bCs/>
          <w:color w:val="000000"/>
          <w:lang w:eastAsia="en-GB"/>
        </w:rPr>
        <w:t xml:space="preserve">Mike Hawes, SMMT Chief </w:t>
      </w:r>
      <w:r w:rsidR="002B3479">
        <w:rPr>
          <w:rFonts w:eastAsia="Calibri"/>
          <w:b/>
          <w:bCs/>
          <w:color w:val="000000"/>
          <w:lang w:eastAsia="en-GB"/>
        </w:rPr>
        <w:t>Executive</w:t>
      </w:r>
      <w:r w:rsidRPr="00304E78">
        <w:rPr>
          <w:rFonts w:eastAsia="Calibri"/>
          <w:color w:val="000000"/>
          <w:lang w:eastAsia="en-GB"/>
        </w:rPr>
        <w:t>, said, “Britain’s sixth quarter of rising HGV rollout and increasing uptake of zero emission trucks this year underlines the sector’s strong position, with operators in all UK regions getting the latest fuel-efficient and very greenest models. The rate of zero emission truck uptake must increase, however, both drastically and soon – amid significant obstacles to the sector’s transition. With just one public HGV chargepoint in the UK, a national plan for public and depot infrastructure is urgently needed to make fleet decarbonisation a reality for all operators, now and in the long term.”</w:t>
      </w:r>
    </w:p>
    <w:p w14:paraId="163754D8" w14:textId="63BE975E" w:rsidR="009A01E7" w:rsidRDefault="009A01E7" w:rsidP="009B23AA">
      <w:pPr>
        <w:spacing w:line="276" w:lineRule="auto"/>
        <w:rPr>
          <w:rFonts w:eastAsia="Calibri"/>
          <w:color w:val="000000"/>
          <w:lang w:eastAsia="en-GB"/>
        </w:rPr>
      </w:pPr>
    </w:p>
    <w:p w14:paraId="21C1D422" w14:textId="23F3CDCE" w:rsidR="009A01E7" w:rsidRDefault="009A01E7" w:rsidP="009B23AA">
      <w:pPr>
        <w:spacing w:line="276" w:lineRule="auto"/>
        <w:rPr>
          <w:rFonts w:eastAsia="Calibri"/>
          <w:color w:val="000000"/>
          <w:lang w:eastAsia="en-GB"/>
        </w:rPr>
      </w:pPr>
      <w:r>
        <w:rPr>
          <w:rFonts w:eastAsia="Calibri"/>
          <w:noProof/>
          <w:color w:val="000000"/>
          <w:lang w:eastAsia="en-GB"/>
        </w:rPr>
        <w:drawing>
          <wp:inline distT="0" distB="0" distL="0" distR="0" wp14:anchorId="5B2B2D2E" wp14:editId="2601FDCC">
            <wp:extent cx="5731510" cy="981710"/>
            <wp:effectExtent l="0" t="0" r="2540" b="8890"/>
            <wp:docPr id="9" name="Picture 9" descr="A close up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close up of a graph&#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981710"/>
                    </a:xfrm>
                    <a:prstGeom prst="rect">
                      <a:avLst/>
                    </a:prstGeom>
                  </pic:spPr>
                </pic:pic>
              </a:graphicData>
            </a:graphic>
          </wp:inline>
        </w:drawing>
      </w:r>
    </w:p>
    <w:p w14:paraId="78D5D57F" w14:textId="144C56D2" w:rsidR="009A01E7" w:rsidRDefault="009A01E7" w:rsidP="009B23AA">
      <w:pPr>
        <w:spacing w:line="276" w:lineRule="auto"/>
        <w:rPr>
          <w:rFonts w:eastAsia="Calibri"/>
          <w:color w:val="000000"/>
          <w:lang w:eastAsia="en-GB"/>
        </w:rPr>
      </w:pPr>
    </w:p>
    <w:p w14:paraId="23BB78F1" w14:textId="6B571ABF" w:rsidR="009A01E7" w:rsidRDefault="009A01E7" w:rsidP="009B23AA">
      <w:pPr>
        <w:spacing w:line="276" w:lineRule="auto"/>
        <w:rPr>
          <w:rFonts w:eastAsia="Calibri"/>
          <w:color w:val="000000"/>
          <w:lang w:eastAsia="en-GB"/>
        </w:rPr>
      </w:pPr>
      <w:r>
        <w:rPr>
          <w:rFonts w:eastAsia="Calibri"/>
          <w:noProof/>
          <w:color w:val="000000"/>
          <w:lang w:eastAsia="en-GB"/>
        </w:rPr>
        <w:drawing>
          <wp:inline distT="0" distB="0" distL="0" distR="0" wp14:anchorId="0417FEEE" wp14:editId="279BABBB">
            <wp:extent cx="4139184" cy="4608576"/>
            <wp:effectExtent l="0" t="0" r="0" b="1905"/>
            <wp:docPr id="4" name="Picture 4" descr="A table with numbers and percentag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table with numbers and percentag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39184" cy="4608576"/>
                    </a:xfrm>
                    <a:prstGeom prst="rect">
                      <a:avLst/>
                    </a:prstGeom>
                  </pic:spPr>
                </pic:pic>
              </a:graphicData>
            </a:graphic>
          </wp:inline>
        </w:drawing>
      </w:r>
    </w:p>
    <w:p w14:paraId="67534819" w14:textId="62C85E1B" w:rsidR="009A01E7" w:rsidRDefault="009A01E7" w:rsidP="009B23AA">
      <w:pPr>
        <w:spacing w:line="276" w:lineRule="auto"/>
        <w:rPr>
          <w:rFonts w:eastAsia="Calibri"/>
          <w:color w:val="000000"/>
          <w:lang w:eastAsia="en-GB"/>
        </w:rPr>
      </w:pPr>
    </w:p>
    <w:p w14:paraId="347CBFBD" w14:textId="2D0C12C3" w:rsidR="009A01E7" w:rsidRDefault="009A01E7" w:rsidP="009B23AA">
      <w:pPr>
        <w:spacing w:line="276" w:lineRule="auto"/>
        <w:rPr>
          <w:rFonts w:eastAsia="Calibri"/>
          <w:color w:val="000000"/>
          <w:lang w:eastAsia="en-GB"/>
        </w:rPr>
      </w:pPr>
    </w:p>
    <w:p w14:paraId="43387F4F" w14:textId="6978C394" w:rsidR="009A01E7" w:rsidRDefault="009A01E7" w:rsidP="009B23AA">
      <w:pPr>
        <w:spacing w:line="276" w:lineRule="auto"/>
        <w:rPr>
          <w:rFonts w:eastAsia="Calibri"/>
          <w:color w:val="000000"/>
          <w:lang w:eastAsia="en-GB"/>
        </w:rPr>
      </w:pPr>
      <w:r>
        <w:rPr>
          <w:rFonts w:eastAsia="Calibri"/>
          <w:noProof/>
          <w:color w:val="000000"/>
          <w:lang w:eastAsia="en-GB"/>
        </w:rPr>
        <w:drawing>
          <wp:inline distT="0" distB="0" distL="0" distR="0" wp14:anchorId="58F3E25A" wp14:editId="1F3F6B84">
            <wp:extent cx="4437888" cy="3553968"/>
            <wp:effectExtent l="0" t="0" r="1270" b="8890"/>
            <wp:docPr id="7" name="Picture 7" descr="A graph of different types of body typ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graph of different types of body type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37888" cy="3553968"/>
                    </a:xfrm>
                    <a:prstGeom prst="rect">
                      <a:avLst/>
                    </a:prstGeom>
                  </pic:spPr>
                </pic:pic>
              </a:graphicData>
            </a:graphic>
          </wp:inline>
        </w:drawing>
      </w:r>
    </w:p>
    <w:p w14:paraId="4E9295DD" w14:textId="688C2E7A" w:rsidR="009A01E7" w:rsidRDefault="009A01E7" w:rsidP="009B23AA">
      <w:pPr>
        <w:spacing w:line="276" w:lineRule="auto"/>
        <w:rPr>
          <w:rFonts w:eastAsia="Calibri"/>
          <w:color w:val="000000"/>
          <w:lang w:eastAsia="en-GB"/>
        </w:rPr>
      </w:pPr>
    </w:p>
    <w:p w14:paraId="6B3DC894" w14:textId="77777777" w:rsidR="009A01E7" w:rsidRDefault="009A01E7" w:rsidP="009B23AA">
      <w:pPr>
        <w:spacing w:line="276" w:lineRule="auto"/>
        <w:rPr>
          <w:rFonts w:eastAsia="Calibri"/>
          <w:noProof/>
          <w:color w:val="000000"/>
          <w:lang w:eastAsia="en-GB"/>
        </w:rPr>
      </w:pPr>
      <w:r>
        <w:rPr>
          <w:rFonts w:eastAsia="Calibri"/>
          <w:noProof/>
          <w:color w:val="000000"/>
          <w:lang w:eastAsia="en-GB"/>
        </w:rPr>
        <w:drawing>
          <wp:inline distT="0" distB="0" distL="0" distR="0" wp14:anchorId="1446B337" wp14:editId="4774E0CD">
            <wp:extent cx="5731510" cy="1674495"/>
            <wp:effectExtent l="0" t="0" r="2540" b="1905"/>
            <wp:docPr id="1" name="Picture 1" descr="A white and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white and black text&#10;&#10;Description automatically generated with medium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1674495"/>
                    </a:xfrm>
                    <a:prstGeom prst="rect">
                      <a:avLst/>
                    </a:prstGeom>
                  </pic:spPr>
                </pic:pic>
              </a:graphicData>
            </a:graphic>
          </wp:inline>
        </w:drawing>
      </w:r>
    </w:p>
    <w:p w14:paraId="35339B0D" w14:textId="77777777" w:rsidR="009A01E7" w:rsidRDefault="009A01E7" w:rsidP="009B23AA">
      <w:pPr>
        <w:spacing w:line="276" w:lineRule="auto"/>
        <w:rPr>
          <w:rFonts w:eastAsia="Calibri"/>
          <w:noProof/>
          <w:color w:val="000000"/>
          <w:lang w:eastAsia="en-GB"/>
        </w:rPr>
      </w:pPr>
    </w:p>
    <w:p w14:paraId="222EFDFC" w14:textId="51270F5D" w:rsidR="009A01E7" w:rsidRDefault="009A01E7" w:rsidP="009B23AA">
      <w:pPr>
        <w:spacing w:line="276" w:lineRule="auto"/>
        <w:rPr>
          <w:rFonts w:eastAsia="Calibri"/>
          <w:noProof/>
          <w:color w:val="000000"/>
          <w:lang w:eastAsia="en-GB"/>
        </w:rPr>
      </w:pPr>
      <w:r>
        <w:rPr>
          <w:rFonts w:eastAsia="Calibri"/>
          <w:noProof/>
          <w:color w:val="000000"/>
          <w:lang w:eastAsia="en-GB"/>
        </w:rPr>
        <w:drawing>
          <wp:inline distT="0" distB="0" distL="0" distR="0" wp14:anchorId="62853FD8" wp14:editId="2B835A44">
            <wp:extent cx="5731510" cy="2901950"/>
            <wp:effectExtent l="0" t="0" r="2540" b="0"/>
            <wp:docPr id="3" name="Picture 3" descr="A graph of blue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aph of blue bars&#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10" cy="2901950"/>
                    </a:xfrm>
                    <a:prstGeom prst="rect">
                      <a:avLst/>
                    </a:prstGeom>
                  </pic:spPr>
                </pic:pic>
              </a:graphicData>
            </a:graphic>
          </wp:inline>
        </w:drawing>
      </w:r>
    </w:p>
    <w:p w14:paraId="44F6F523" w14:textId="77777777" w:rsidR="009A01E7" w:rsidRDefault="009A01E7" w:rsidP="009B23AA">
      <w:pPr>
        <w:spacing w:line="276" w:lineRule="auto"/>
        <w:rPr>
          <w:rFonts w:eastAsia="Calibri"/>
          <w:noProof/>
          <w:color w:val="000000"/>
          <w:lang w:eastAsia="en-GB"/>
        </w:rPr>
      </w:pPr>
    </w:p>
    <w:p w14:paraId="595F619F" w14:textId="692AB1FA" w:rsidR="009A01E7" w:rsidRDefault="009A01E7" w:rsidP="009B23AA">
      <w:pPr>
        <w:spacing w:line="276" w:lineRule="auto"/>
        <w:rPr>
          <w:rFonts w:eastAsia="Calibri"/>
          <w:noProof/>
          <w:color w:val="000000"/>
          <w:lang w:eastAsia="en-GB"/>
        </w:rPr>
      </w:pPr>
      <w:r>
        <w:rPr>
          <w:rFonts w:eastAsia="Calibri"/>
          <w:noProof/>
          <w:color w:val="000000"/>
          <w:lang w:eastAsia="en-GB"/>
        </w:rPr>
        <w:lastRenderedPageBreak/>
        <w:drawing>
          <wp:inline distT="0" distB="0" distL="0" distR="0" wp14:anchorId="3AC797EC" wp14:editId="7394D190">
            <wp:extent cx="5731510" cy="2023745"/>
            <wp:effectExtent l="0" t="0" r="2540" b="0"/>
            <wp:docPr id="2" name="Picture 2" descr="A graph with number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graph with numbers and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2023745"/>
                    </a:xfrm>
                    <a:prstGeom prst="rect">
                      <a:avLst/>
                    </a:prstGeom>
                  </pic:spPr>
                </pic:pic>
              </a:graphicData>
            </a:graphic>
          </wp:inline>
        </w:drawing>
      </w:r>
    </w:p>
    <w:p w14:paraId="25FAA468" w14:textId="2D89BBE2" w:rsidR="009A01E7" w:rsidRDefault="009A01E7" w:rsidP="009B23AA">
      <w:pPr>
        <w:spacing w:line="276" w:lineRule="auto"/>
        <w:rPr>
          <w:rFonts w:eastAsia="Calibri"/>
          <w:noProof/>
          <w:color w:val="000000"/>
          <w:lang w:eastAsia="en-GB"/>
        </w:rPr>
      </w:pPr>
    </w:p>
    <w:p w14:paraId="17F98C0B" w14:textId="77777777" w:rsidR="009A01E7" w:rsidRDefault="009A01E7" w:rsidP="009B23AA">
      <w:pPr>
        <w:spacing w:line="276" w:lineRule="auto"/>
        <w:rPr>
          <w:rFonts w:eastAsia="Calibri"/>
          <w:noProof/>
          <w:color w:val="000000"/>
          <w:lang w:eastAsia="en-GB"/>
        </w:rPr>
      </w:pPr>
    </w:p>
    <w:p w14:paraId="64DFED70" w14:textId="387E1E5B" w:rsidR="009A01E7" w:rsidRDefault="009A01E7" w:rsidP="009B23AA">
      <w:pPr>
        <w:spacing w:line="276" w:lineRule="auto"/>
        <w:rPr>
          <w:rFonts w:eastAsia="Calibri"/>
          <w:noProof/>
          <w:color w:val="000000"/>
          <w:lang w:eastAsia="en-GB"/>
        </w:rPr>
      </w:pPr>
      <w:r>
        <w:rPr>
          <w:rFonts w:eastAsia="Calibri"/>
          <w:noProof/>
          <w:color w:val="000000"/>
          <w:lang w:eastAsia="en-GB"/>
        </w:rPr>
        <w:drawing>
          <wp:inline distT="0" distB="0" distL="0" distR="0" wp14:anchorId="672F1629" wp14:editId="1F79752B">
            <wp:extent cx="5477256" cy="3633216"/>
            <wp:effectExtent l="0" t="0" r="0" b="5715"/>
            <wp:docPr id="5" name="Picture 5" descr="A graph showing the number of objects in the same colo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graph showing the number of objects in the same color&#10;&#10;Description automatically generated with medium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77256" cy="3633216"/>
                    </a:xfrm>
                    <a:prstGeom prst="rect">
                      <a:avLst/>
                    </a:prstGeom>
                  </pic:spPr>
                </pic:pic>
              </a:graphicData>
            </a:graphic>
          </wp:inline>
        </w:drawing>
      </w:r>
    </w:p>
    <w:p w14:paraId="6483E41D" w14:textId="4BCF050D" w:rsidR="009A01E7" w:rsidRPr="00304E78" w:rsidRDefault="009A01E7" w:rsidP="009B23AA">
      <w:pPr>
        <w:spacing w:line="276" w:lineRule="auto"/>
        <w:rPr>
          <w:rFonts w:eastAsia="Calibri"/>
          <w:color w:val="000000"/>
          <w:lang w:eastAsia="en-GB"/>
        </w:rPr>
      </w:pPr>
    </w:p>
    <w:p w14:paraId="6F2856CF" w14:textId="3BF44F5F" w:rsidR="009B23AA" w:rsidRPr="00304E78" w:rsidRDefault="009B23AA" w:rsidP="009B23AA">
      <w:pPr>
        <w:spacing w:line="276" w:lineRule="auto"/>
        <w:rPr>
          <w:rFonts w:eastAsia="Calibri"/>
          <w:color w:val="1074CB"/>
          <w:sz w:val="16"/>
          <w:szCs w:val="16"/>
          <w:lang w:eastAsia="en-GB"/>
        </w:rPr>
      </w:pPr>
      <w:r w:rsidRPr="00304E78">
        <w:rPr>
          <w:rFonts w:eastAsia="Calibri"/>
          <w:color w:val="000000"/>
          <w:sz w:val="22"/>
          <w:szCs w:val="22"/>
          <w:lang w:eastAsia="en-GB"/>
        </w:rPr>
        <w:br/>
      </w:r>
      <w:r w:rsidRPr="00304E78">
        <w:rPr>
          <w:rFonts w:eastAsia="Calibri"/>
          <w:b/>
          <w:bCs/>
          <w:color w:val="1074CB"/>
          <w:sz w:val="16"/>
          <w:szCs w:val="16"/>
          <w:u w:val="single"/>
          <w:lang w:eastAsia="en-GB"/>
        </w:rPr>
        <w:t>Notes to editors</w:t>
      </w:r>
      <w:r w:rsidRPr="00304E78">
        <w:rPr>
          <w:rFonts w:eastAsia="Calibri"/>
          <w:b/>
          <w:bCs/>
          <w:color w:val="1074CB"/>
          <w:sz w:val="16"/>
          <w:szCs w:val="16"/>
          <w:lang w:eastAsia="en-GB"/>
        </w:rPr>
        <w:br/>
        <w:t xml:space="preserve">                  </w:t>
      </w:r>
      <w:r w:rsidRPr="00304E78">
        <w:rPr>
          <w:rFonts w:eastAsia="Calibri"/>
          <w:sz w:val="22"/>
          <w:szCs w:val="22"/>
          <w:lang w:eastAsia="en-GB"/>
        </w:rPr>
        <w:br/>
      </w:r>
      <w:r w:rsidRPr="00304E78">
        <w:rPr>
          <w:rFonts w:eastAsia="Calibri"/>
          <w:color w:val="1074CB"/>
          <w:sz w:val="16"/>
          <w:szCs w:val="16"/>
          <w:lang w:eastAsia="en-GB"/>
        </w:rPr>
        <w:t xml:space="preserve">1 Q4 2019: </w:t>
      </w:r>
      <w:r w:rsidR="00681DDD">
        <w:rPr>
          <w:rFonts w:eastAsia="Calibri"/>
          <w:color w:val="1074CB"/>
          <w:sz w:val="16"/>
          <w:szCs w:val="16"/>
          <w:lang w:eastAsia="en-GB"/>
        </w:rPr>
        <w:t>12,514</w:t>
      </w:r>
      <w:r w:rsidRPr="00304E78">
        <w:rPr>
          <w:rFonts w:eastAsia="Calibri"/>
          <w:color w:val="1074CB"/>
          <w:sz w:val="16"/>
          <w:szCs w:val="16"/>
          <w:lang w:eastAsia="en-GB"/>
        </w:rPr>
        <w:t xml:space="preserve"> units.</w:t>
      </w:r>
    </w:p>
    <w:p w14:paraId="79973E74" w14:textId="77777777" w:rsidR="009B23AA" w:rsidRPr="00304E78" w:rsidRDefault="009B23AA" w:rsidP="009B23AA">
      <w:pPr>
        <w:spacing w:line="276" w:lineRule="auto"/>
        <w:rPr>
          <w:rFonts w:eastAsia="Calibri"/>
          <w:color w:val="1074CB"/>
          <w:sz w:val="16"/>
          <w:szCs w:val="16"/>
          <w:lang w:eastAsia="en-GB"/>
        </w:rPr>
      </w:pPr>
      <w:r w:rsidRPr="00304E78">
        <w:rPr>
          <w:rFonts w:eastAsia="Calibri"/>
          <w:color w:val="1074CB"/>
          <w:sz w:val="16"/>
          <w:szCs w:val="16"/>
          <w:lang w:eastAsia="en-GB"/>
        </w:rPr>
        <w:t>2 Q1-Q3 2019: 36,021 units.</w:t>
      </w:r>
    </w:p>
    <w:p w14:paraId="3A43E0B3" w14:textId="77777777" w:rsidR="009B23AA" w:rsidRPr="00304E78" w:rsidRDefault="009B23AA" w:rsidP="009B23AA">
      <w:pPr>
        <w:spacing w:line="276" w:lineRule="auto"/>
        <w:rPr>
          <w:rFonts w:eastAsia="Calibri"/>
          <w:color w:val="000000"/>
          <w:lang w:eastAsia="en-GB"/>
        </w:rPr>
      </w:pPr>
      <w:r w:rsidRPr="00304E78">
        <w:rPr>
          <w:rFonts w:eastAsia="Calibri"/>
          <w:color w:val="1074CB"/>
          <w:sz w:val="16"/>
          <w:szCs w:val="16"/>
          <w:lang w:eastAsia="en-GB"/>
        </w:rPr>
        <w:t>3 360kW charger and elongated HGV bays located at southbound Rivington Services on the M61.</w:t>
      </w:r>
    </w:p>
    <w:p w14:paraId="591016E8" w14:textId="77777777" w:rsidR="009B23AA" w:rsidRPr="00304E78" w:rsidRDefault="009B23AA" w:rsidP="009B23AA">
      <w:pPr>
        <w:rPr>
          <w:rFonts w:eastAsia="Calibri"/>
          <w:color w:val="1074CB"/>
          <w:sz w:val="16"/>
          <w:szCs w:val="16"/>
          <w:lang w:eastAsia="en-GB"/>
        </w:rPr>
      </w:pPr>
    </w:p>
    <w:p w14:paraId="594BA0FD" w14:textId="77777777" w:rsidR="009B23AA" w:rsidRPr="00304E78" w:rsidRDefault="009B23AA" w:rsidP="009B23AA">
      <w:pPr>
        <w:rPr>
          <w:rFonts w:eastAsia="Calibri"/>
          <w:b/>
          <w:bCs/>
          <w:color w:val="1074CB"/>
          <w:sz w:val="16"/>
          <w:szCs w:val="16"/>
          <w:lang w:eastAsia="en-GB"/>
        </w:rPr>
      </w:pPr>
      <w:r w:rsidRPr="00304E78">
        <w:rPr>
          <w:rFonts w:eastAsia="Calibri"/>
          <w:b/>
          <w:bCs/>
          <w:color w:val="1074CB"/>
          <w:sz w:val="16"/>
          <w:szCs w:val="16"/>
          <w:lang w:eastAsia="en-GB"/>
        </w:rPr>
        <w:t>About SMMT and the UK automotive industry</w:t>
      </w:r>
    </w:p>
    <w:p w14:paraId="456BFA87" w14:textId="77777777" w:rsidR="009B23AA" w:rsidRPr="00304E78" w:rsidRDefault="009B23AA" w:rsidP="009B23AA">
      <w:pPr>
        <w:spacing w:before="100" w:beforeAutospacing="1" w:after="100" w:afterAutospacing="1" w:line="312" w:lineRule="auto"/>
        <w:jc w:val="both"/>
        <w:rPr>
          <w:rFonts w:eastAsia="Calibri"/>
          <w:color w:val="292929"/>
          <w:sz w:val="16"/>
          <w:szCs w:val="16"/>
          <w:lang w:eastAsia="en-GB"/>
        </w:rPr>
      </w:pPr>
      <w:bookmarkStart w:id="1" w:name="_Hlk138675655"/>
      <w:r w:rsidRPr="00304E78">
        <w:rPr>
          <w:rFonts w:eastAsia="Calibri"/>
          <w:color w:val="1074CB"/>
          <w:sz w:val="16"/>
          <w:szCs w:val="16"/>
          <w:shd w:val="clear" w:color="auto" w:fill="FFFFFF"/>
          <w:lang w:eastAsia="en-GB"/>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5A76E71B" w14:textId="77777777" w:rsidR="009B23AA" w:rsidRPr="00304E78" w:rsidRDefault="009B23AA" w:rsidP="009B23AA">
      <w:pPr>
        <w:spacing w:before="100" w:beforeAutospacing="1" w:after="100" w:afterAutospacing="1" w:line="312" w:lineRule="auto"/>
        <w:jc w:val="both"/>
        <w:rPr>
          <w:rFonts w:eastAsia="Calibri"/>
          <w:color w:val="292929"/>
          <w:sz w:val="16"/>
          <w:szCs w:val="16"/>
          <w:lang w:eastAsia="en-GB"/>
        </w:rPr>
      </w:pPr>
      <w:r w:rsidRPr="00304E78">
        <w:rPr>
          <w:rFonts w:eastAsia="Calibri"/>
          <w:color w:val="1074CB"/>
          <w:sz w:val="16"/>
          <w:szCs w:val="16"/>
          <w:shd w:val="clear" w:color="auto" w:fill="FFFFFF"/>
          <w:lang w:eastAsia="en-GB"/>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1E8CDD63" w14:textId="77777777" w:rsidR="009B23AA" w:rsidRPr="00304E78" w:rsidRDefault="009B23AA" w:rsidP="009B23AA">
      <w:pPr>
        <w:spacing w:before="100" w:beforeAutospacing="1" w:after="100" w:afterAutospacing="1" w:line="312" w:lineRule="auto"/>
        <w:jc w:val="both"/>
        <w:rPr>
          <w:rFonts w:eastAsia="Calibri"/>
          <w:color w:val="292929"/>
          <w:sz w:val="16"/>
          <w:szCs w:val="16"/>
          <w:lang w:eastAsia="en-GB"/>
        </w:rPr>
      </w:pPr>
      <w:r w:rsidRPr="00304E78">
        <w:rPr>
          <w:rFonts w:eastAsia="Calibri"/>
          <w:color w:val="1074CB"/>
          <w:sz w:val="16"/>
          <w:szCs w:val="16"/>
          <w:shd w:val="clear" w:color="auto" w:fill="FFFFFF"/>
          <w:lang w:eastAsia="en-GB"/>
        </w:rPr>
        <w:lastRenderedPageBreak/>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bookmarkEnd w:id="1"/>
    </w:p>
    <w:p w14:paraId="221D4BFE" w14:textId="471EDAB0" w:rsidR="00BF2E47" w:rsidRPr="009B23AA" w:rsidRDefault="009B23AA" w:rsidP="009B23AA">
      <w:pPr>
        <w:spacing w:before="100" w:beforeAutospacing="1" w:after="100" w:afterAutospacing="1" w:line="276" w:lineRule="auto"/>
        <w:rPr>
          <w:rFonts w:ascii="Calibri" w:eastAsia="Calibri" w:hAnsi="Calibri" w:cs="Calibri"/>
          <w:color w:val="1074CB"/>
          <w:sz w:val="22"/>
          <w:szCs w:val="22"/>
          <w:lang w:eastAsia="en-GB"/>
        </w:rPr>
      </w:pPr>
      <w:r w:rsidRPr="00304E78">
        <w:rPr>
          <w:rFonts w:eastAsia="Calibri"/>
          <w:b/>
          <w:bCs/>
          <w:color w:val="1074CB"/>
          <w:sz w:val="16"/>
          <w:szCs w:val="16"/>
          <w:lang w:eastAsia="en-GB"/>
        </w:rPr>
        <w:t>SMMT media contacts</w:t>
      </w:r>
      <w:r w:rsidRPr="00304E78">
        <w:rPr>
          <w:rFonts w:ascii="Calibri" w:eastAsia="Calibri" w:hAnsi="Calibri" w:cs="Calibri"/>
          <w:color w:val="1074CB"/>
          <w:sz w:val="22"/>
          <w:szCs w:val="22"/>
          <w:lang w:eastAsia="en-GB"/>
        </w:rPr>
        <w:br/>
      </w:r>
      <w:r w:rsidRPr="00304E78">
        <w:rPr>
          <w:rFonts w:eastAsia="Calibri"/>
          <w:color w:val="1074CB"/>
          <w:sz w:val="16"/>
          <w:szCs w:val="16"/>
          <w:lang w:eastAsia="en-GB"/>
        </w:rPr>
        <w:t xml:space="preserve">Paul Mauerhoff                       07809 522181            </w:t>
      </w:r>
      <w:hyperlink r:id="rId13" w:history="1">
        <w:r w:rsidRPr="00304E78">
          <w:rPr>
            <w:rFonts w:eastAsia="Calibri"/>
            <w:color w:val="1074CB"/>
            <w:sz w:val="16"/>
            <w:szCs w:val="16"/>
            <w:u w:val="single"/>
            <w:lang w:eastAsia="en-GB"/>
          </w:rPr>
          <w:t>pmauerhoff@smmt.co.uk</w:t>
        </w:r>
      </w:hyperlink>
      <w:r w:rsidRPr="00304E78">
        <w:rPr>
          <w:rFonts w:ascii="Calibri" w:eastAsia="Calibri" w:hAnsi="Calibri" w:cs="Calibri"/>
          <w:color w:val="1074CB"/>
          <w:sz w:val="22"/>
          <w:szCs w:val="22"/>
          <w:lang w:eastAsia="en-GB"/>
        </w:rPr>
        <w:br/>
      </w:r>
      <w:r w:rsidRPr="00304E78">
        <w:rPr>
          <w:rFonts w:eastAsia="Calibri"/>
          <w:color w:val="1074CB"/>
          <w:sz w:val="16"/>
          <w:szCs w:val="16"/>
          <w:lang w:eastAsia="en-GB"/>
        </w:rPr>
        <w:t xml:space="preserve">James Boley                           07927 668565            </w:t>
      </w:r>
      <w:hyperlink r:id="rId14" w:history="1">
        <w:r w:rsidRPr="00304E78">
          <w:rPr>
            <w:rFonts w:eastAsia="Calibri"/>
            <w:color w:val="1074CB"/>
            <w:sz w:val="16"/>
            <w:szCs w:val="16"/>
            <w:u w:val="single"/>
            <w:lang w:eastAsia="en-GB"/>
          </w:rPr>
          <w:t>jboley@smmt.co.uk</w:t>
        </w:r>
      </w:hyperlink>
      <w:r w:rsidRPr="00304E78">
        <w:rPr>
          <w:rFonts w:ascii="Calibri" w:eastAsia="Calibri" w:hAnsi="Calibri" w:cs="Calibri"/>
          <w:color w:val="1074CB"/>
          <w:sz w:val="22"/>
          <w:szCs w:val="22"/>
          <w:lang w:eastAsia="en-GB"/>
        </w:rPr>
        <w:br/>
      </w:r>
      <w:r w:rsidRPr="00304E78">
        <w:rPr>
          <w:rFonts w:eastAsia="Calibri"/>
          <w:color w:val="1074CB"/>
          <w:sz w:val="16"/>
          <w:szCs w:val="16"/>
          <w:lang w:eastAsia="en-GB"/>
        </w:rPr>
        <w:t xml:space="preserve">Rebecca Gibbs                       07708 480889            </w:t>
      </w:r>
      <w:hyperlink r:id="rId15" w:history="1">
        <w:r w:rsidRPr="00304E78">
          <w:rPr>
            <w:rFonts w:eastAsia="Calibri"/>
            <w:color w:val="1074CB"/>
            <w:sz w:val="16"/>
            <w:szCs w:val="16"/>
            <w:u w:val="single"/>
            <w:lang w:eastAsia="en-GB"/>
          </w:rPr>
          <w:t>rgibbs@smmt.co.uk</w:t>
        </w:r>
      </w:hyperlink>
      <w:r w:rsidRPr="00304E78">
        <w:rPr>
          <w:rFonts w:ascii="Calibri" w:eastAsia="Calibri" w:hAnsi="Calibri" w:cs="Calibri"/>
          <w:color w:val="1074CB"/>
          <w:sz w:val="22"/>
          <w:szCs w:val="22"/>
          <w:lang w:eastAsia="en-GB"/>
        </w:rPr>
        <w:br/>
      </w:r>
      <w:r w:rsidRPr="00304E78">
        <w:rPr>
          <w:rFonts w:eastAsia="Calibri"/>
          <w:color w:val="1074CB"/>
          <w:sz w:val="16"/>
          <w:szCs w:val="16"/>
          <w:lang w:eastAsia="en-GB"/>
        </w:rPr>
        <w:t xml:space="preserve">Scott Clarke                            07912 799959            </w:t>
      </w:r>
      <w:hyperlink r:id="rId16" w:history="1">
        <w:r w:rsidRPr="00304E78">
          <w:rPr>
            <w:rFonts w:eastAsia="Calibri"/>
            <w:color w:val="1074CB"/>
            <w:sz w:val="16"/>
            <w:szCs w:val="16"/>
            <w:u w:val="single"/>
            <w:lang w:eastAsia="en-GB"/>
          </w:rPr>
          <w:t>sclarke@smmt.co.uk</w:t>
        </w:r>
      </w:hyperlink>
      <w:r w:rsidRPr="00304E78">
        <w:rPr>
          <w:rFonts w:ascii="Calibri" w:eastAsia="Calibri" w:hAnsi="Calibri" w:cs="Calibri"/>
          <w:color w:val="1074CB"/>
          <w:sz w:val="22"/>
          <w:szCs w:val="22"/>
          <w:lang w:eastAsia="en-GB"/>
        </w:rPr>
        <w:br/>
      </w:r>
      <w:r w:rsidRPr="00304E78">
        <w:rPr>
          <w:rFonts w:eastAsia="Calibri"/>
          <w:color w:val="1074CB"/>
          <w:sz w:val="16"/>
          <w:szCs w:val="16"/>
          <w:lang w:eastAsia="en-GB"/>
        </w:rPr>
        <w:t xml:space="preserve">Emma Butcher                        07880 191825            </w:t>
      </w:r>
      <w:hyperlink r:id="rId17" w:history="1">
        <w:r w:rsidRPr="00304E78">
          <w:rPr>
            <w:rFonts w:eastAsia="Calibri"/>
            <w:color w:val="1074CB"/>
            <w:sz w:val="16"/>
            <w:szCs w:val="16"/>
            <w:u w:val="single"/>
            <w:lang w:eastAsia="en-GB"/>
          </w:rPr>
          <w:t>ebutcher@smmt.co.uk</w:t>
        </w:r>
      </w:hyperlink>
    </w:p>
    <w:sectPr w:rsidR="00BF2E47" w:rsidRPr="009B23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E331E7"/>
    <w:multiLevelType w:val="multilevel"/>
    <w:tmpl w:val="56CC471E"/>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16cid:durableId="51160616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3AA"/>
    <w:rsid w:val="00106701"/>
    <w:rsid w:val="002B3479"/>
    <w:rsid w:val="0056334F"/>
    <w:rsid w:val="005847DF"/>
    <w:rsid w:val="00681DDD"/>
    <w:rsid w:val="00882F2D"/>
    <w:rsid w:val="008A1B5C"/>
    <w:rsid w:val="0092290E"/>
    <w:rsid w:val="009A01E7"/>
    <w:rsid w:val="009B23AA"/>
    <w:rsid w:val="00A15D83"/>
    <w:rsid w:val="00A61C5A"/>
    <w:rsid w:val="00AB67B2"/>
    <w:rsid w:val="00BF2E47"/>
    <w:rsid w:val="00C951C5"/>
    <w:rsid w:val="00E37F46"/>
    <w:rsid w:val="00EF43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239AE"/>
  <w15:chartTrackingRefBased/>
  <w15:docId w15:val="{30DE44F1-3FFA-4A51-9D4F-9DF9C96C2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3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A15D83"/>
    <w:rPr>
      <w:color w:val="0563C1" w:themeColor="hyperlink"/>
      <w:u w:val="single"/>
    </w:rPr>
  </w:style>
  <w:style w:type="character" w:styleId="UnresolvedMention">
    <w:name w:val="Unresolved Mention"/>
    <w:basedOn w:val="DefaultParagraphFont"/>
    <w:uiPriority w:val="99"/>
    <w:semiHidden/>
    <w:unhideWhenUsed/>
    <w:rsid w:val="00A15D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mauerhoff@smmt.co.u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mailto:ebutcher@smmt.co.uk" TargetMode="External"/><Relationship Id="rId2" Type="http://schemas.openxmlformats.org/officeDocument/2006/relationships/styles" Target="styles.xml"/><Relationship Id="rId16" Type="http://schemas.openxmlformats.org/officeDocument/2006/relationships/hyperlink" Target="mailto:sclarke@smmt.co.uk"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s://www.dropbox.com/sh/olb5g0wl8wot4my/AAATFS7J9tQ_HSBgY64epYLha?dl=0" TargetMode="External"/><Relationship Id="rId15" Type="http://schemas.openxmlformats.org/officeDocument/2006/relationships/hyperlink" Target="mailto:rgibbs@smmt.co.uk" TargetMode="Externa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mailto:jboley@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1058</Words>
  <Characters>6034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Paul Large</cp:lastModifiedBy>
  <cp:revision>13</cp:revision>
  <dcterms:created xsi:type="dcterms:W3CDTF">2023-11-15T12:17:00Z</dcterms:created>
  <dcterms:modified xsi:type="dcterms:W3CDTF">2023-11-15T17:00:00Z</dcterms:modified>
</cp:coreProperties>
</file>