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1F4B1" w14:textId="77777777" w:rsidR="00C94BBE" w:rsidRDefault="00C94BBE" w:rsidP="00C94BBE">
      <w:pPr>
        <w:shd w:val="clear" w:color="auto" w:fill="FFFFFF"/>
        <w:spacing w:after="240" w:line="276" w:lineRule="auto"/>
      </w:pPr>
      <w:bookmarkStart w:id="0" w:name="_Hlk70001961"/>
      <w:r>
        <w:rPr>
          <w:rFonts w:ascii="Arial" w:hAnsi="Arial" w:cs="Arial"/>
          <w:b/>
          <w:bCs/>
          <w:color w:val="1074CB"/>
          <w:sz w:val="40"/>
          <w:szCs w:val="40"/>
          <w:lang w:eastAsia="en-GB"/>
        </w:rPr>
        <w:t>UK NEW HGV REGISTRATIONS</w:t>
      </w:r>
      <w:bookmarkEnd w:id="0"/>
      <w:r>
        <w:rPr>
          <w:rFonts w:ascii="Arial" w:hAnsi="Arial" w:cs="Arial"/>
          <w:b/>
          <w:bCs/>
          <w:color w:val="1074CB"/>
          <w:sz w:val="40"/>
          <w:szCs w:val="40"/>
          <w:lang w:eastAsia="en-GB"/>
        </w:rPr>
        <w:t>  </w:t>
      </w:r>
      <w:r>
        <w:rPr>
          <w:rFonts w:ascii="Arial" w:hAnsi="Arial" w:cs="Arial"/>
          <w:b/>
          <w:bCs/>
          <w:color w:val="1074CB"/>
          <w:sz w:val="40"/>
          <w:szCs w:val="40"/>
          <w:lang w:eastAsia="en-GB"/>
        </w:rPr>
        <w:tab/>
        <w:t xml:space="preserve">  </w:t>
      </w:r>
      <w:r>
        <w:rPr>
          <w:rFonts w:ascii="Arial" w:hAnsi="Arial" w:cs="Arial"/>
          <w:color w:val="1074CB"/>
          <w:sz w:val="28"/>
          <w:szCs w:val="28"/>
          <w:lang w:eastAsia="en-GB"/>
        </w:rPr>
        <w:t xml:space="preserve">   </w:t>
      </w:r>
      <w:r>
        <w:rPr>
          <w:rFonts w:ascii="Arial" w:hAnsi="Arial" w:cs="Arial"/>
          <w:color w:val="1074CB"/>
          <w:sz w:val="28"/>
          <w:szCs w:val="28"/>
          <w:lang w:eastAsia="en-GB"/>
        </w:rPr>
        <w:br/>
      </w:r>
      <w:r>
        <w:rPr>
          <w:rFonts w:ascii="Arial" w:hAnsi="Arial" w:cs="Arial"/>
          <w:color w:val="1074CB"/>
          <w:sz w:val="40"/>
          <w:szCs w:val="40"/>
          <w:lang w:eastAsia="en-GB"/>
        </w:rPr>
        <w:t>14 November 2024</w:t>
      </w:r>
      <w:r>
        <w:rPr>
          <w:rFonts w:ascii="Arial" w:hAnsi="Arial" w:cs="Arial"/>
          <w:b/>
          <w:bCs/>
          <w:color w:val="1074CB"/>
          <w:sz w:val="20"/>
          <w:szCs w:val="20"/>
          <w:lang w:eastAsia="en-GB"/>
        </w:rPr>
        <w:t xml:space="preserve"> </w:t>
      </w:r>
      <w:r>
        <w:rPr>
          <w:rFonts w:ascii="Arial" w:hAnsi="Arial" w:cs="Arial"/>
          <w:color w:val="1074CB"/>
          <w:sz w:val="32"/>
          <w:szCs w:val="32"/>
          <w:lang w:eastAsia="en-GB"/>
        </w:rPr>
        <w:t xml:space="preserve">(data for Q3 2024)              </w:t>
      </w:r>
      <w:r>
        <w:rPr>
          <w:rFonts w:ascii="Arial" w:hAnsi="Arial" w:cs="Arial"/>
          <w:color w:val="1074CB"/>
          <w:sz w:val="32"/>
          <w:szCs w:val="32"/>
          <w:lang w:eastAsia="en-GB"/>
        </w:rPr>
        <w:br/>
      </w:r>
      <w:r>
        <w:rPr>
          <w:rFonts w:ascii="Arial" w:hAnsi="Arial" w:cs="Arial"/>
          <w:b/>
          <w:bCs/>
          <w:color w:val="000000"/>
          <w:sz w:val="20"/>
          <w:szCs w:val="20"/>
          <w:lang w:eastAsia="en-GB"/>
        </w:rPr>
        <w:t xml:space="preserve">Hi-res charts available via Dropbox: </w:t>
      </w:r>
    </w:p>
    <w:p w14:paraId="6FF4FBAC" w14:textId="77777777" w:rsidR="00C94BBE" w:rsidRPr="005167EA" w:rsidRDefault="00C94BBE" w:rsidP="00C94BBE">
      <w:pPr>
        <w:shd w:val="clear" w:color="auto" w:fill="FFFFFF"/>
        <w:spacing w:line="276" w:lineRule="auto"/>
        <w:rPr>
          <w:rFonts w:ascii="Arial" w:hAnsi="Arial" w:cs="Arial"/>
          <w:b/>
          <w:bCs/>
          <w:color w:val="1074CB"/>
          <w:sz w:val="32"/>
          <w:szCs w:val="32"/>
          <w:lang w:eastAsia="en-GB"/>
        </w:rPr>
      </w:pPr>
      <w:r w:rsidRPr="005167EA">
        <w:rPr>
          <w:rFonts w:ascii="Arial" w:hAnsi="Arial" w:cs="Arial"/>
          <w:b/>
          <w:bCs/>
          <w:color w:val="1074CB"/>
          <w:sz w:val="32"/>
          <w:szCs w:val="32"/>
          <w:lang w:eastAsia="en-GB"/>
        </w:rPr>
        <w:t>HGV market slows down as demand normalises following bumper year</w:t>
      </w:r>
    </w:p>
    <w:p w14:paraId="2467D95E" w14:textId="77777777" w:rsidR="00C94BBE" w:rsidRPr="00563BD7" w:rsidRDefault="00C94BBE" w:rsidP="00C94BBE">
      <w:pPr>
        <w:shd w:val="clear" w:color="auto" w:fill="FFFFFF"/>
        <w:spacing w:line="276" w:lineRule="auto"/>
        <w:rPr>
          <w:rFonts w:ascii="Arial" w:hAnsi="Arial" w:cs="Arial"/>
          <w:b/>
          <w:bCs/>
          <w:color w:val="1074CB"/>
          <w:sz w:val="32"/>
          <w:szCs w:val="32"/>
          <w:lang w:eastAsia="en-GB"/>
        </w:rPr>
      </w:pPr>
      <w:r>
        <w:rPr>
          <w:rFonts w:ascii="Arial" w:hAnsi="Arial" w:cs="Arial"/>
          <w:color w:val="000000"/>
          <w:sz w:val="24"/>
          <w:szCs w:val="24"/>
          <w:lang w:eastAsia="en-GB"/>
        </w:rPr>
        <w:t> </w:t>
      </w:r>
    </w:p>
    <w:p w14:paraId="3F0AA392" w14:textId="77777777" w:rsidR="00C94BBE" w:rsidRDefault="00C94BBE" w:rsidP="00C94BBE">
      <w:pPr>
        <w:numPr>
          <w:ilvl w:val="0"/>
          <w:numId w:val="1"/>
        </w:numPr>
        <w:shd w:val="clear" w:color="auto" w:fill="FFFFFF"/>
        <w:spacing w:line="276" w:lineRule="auto"/>
        <w:jc w:val="both"/>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Heavy goods vehicle market falls by -6.0% in quarter compared with last year’s significant uptake.</w:t>
      </w:r>
    </w:p>
    <w:p w14:paraId="1631E944" w14:textId="77777777" w:rsidR="00C94BBE" w:rsidRDefault="00C94BBE" w:rsidP="00C94BBE">
      <w:pPr>
        <w:numPr>
          <w:ilvl w:val="0"/>
          <w:numId w:val="1"/>
        </w:numPr>
        <w:shd w:val="clear" w:color="auto" w:fill="FFFFFF"/>
        <w:spacing w:line="276" w:lineRule="auto"/>
        <w:jc w:val="both"/>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Decline driven by fall in demand for largest trucks, but overall uptake still above pre-pandemic levels.</w:t>
      </w:r>
    </w:p>
    <w:p w14:paraId="13CE8549" w14:textId="6EC348B4" w:rsidR="00C94BBE" w:rsidRDefault="00C94BBE" w:rsidP="00C94BBE">
      <w:pPr>
        <w:numPr>
          <w:ilvl w:val="0"/>
          <w:numId w:val="1"/>
        </w:numPr>
        <w:shd w:val="clear" w:color="auto" w:fill="FFFFFF"/>
        <w:spacing w:line="276" w:lineRule="auto"/>
        <w:jc w:val="both"/>
        <w:rPr>
          <w:rFonts w:ascii="Arial" w:eastAsia="Times New Roman" w:hAnsi="Arial" w:cs="Arial"/>
          <w:b/>
          <w:bCs/>
          <w:color w:val="000000"/>
          <w:sz w:val="20"/>
          <w:szCs w:val="20"/>
          <w:lang w:eastAsia="en-GB"/>
        </w:rPr>
      </w:pPr>
      <w:r>
        <w:rPr>
          <w:rFonts w:ascii="Arial" w:eastAsia="Times New Roman" w:hAnsi="Arial" w:cs="Arial"/>
          <w:color w:val="000000"/>
          <w:sz w:val="20"/>
          <w:szCs w:val="20"/>
          <w:lang w:eastAsia="en-GB"/>
        </w:rPr>
        <w:t xml:space="preserve">Zero emission truck market shrinks for first quarter this year, but </w:t>
      </w:r>
      <w:r w:rsidR="00CD3610">
        <w:rPr>
          <w:rFonts w:ascii="Arial" w:eastAsia="Times New Roman" w:hAnsi="Arial" w:cs="Arial"/>
          <w:color w:val="000000"/>
          <w:sz w:val="20"/>
          <w:szCs w:val="20"/>
          <w:lang w:eastAsia="en-GB"/>
        </w:rPr>
        <w:t xml:space="preserve">share of overall market </w:t>
      </w:r>
      <w:r>
        <w:rPr>
          <w:rFonts w:ascii="Arial" w:eastAsia="Times New Roman" w:hAnsi="Arial" w:cs="Arial"/>
          <w:color w:val="000000"/>
          <w:sz w:val="20"/>
          <w:szCs w:val="20"/>
          <w:lang w:eastAsia="en-GB"/>
        </w:rPr>
        <w:t>holds steady for year to date.</w:t>
      </w:r>
    </w:p>
    <w:p w14:paraId="74DC021B" w14:textId="77777777" w:rsidR="00C94BBE" w:rsidRDefault="00C94BBE" w:rsidP="00C94BBE">
      <w:pPr>
        <w:shd w:val="clear" w:color="auto" w:fill="FFFFFF"/>
        <w:spacing w:line="276" w:lineRule="auto"/>
        <w:ind w:left="360"/>
        <w:jc w:val="both"/>
        <w:rPr>
          <w:rFonts w:ascii="Arial" w:hAnsi="Arial" w:cs="Arial"/>
          <w:b/>
          <w:bCs/>
          <w:color w:val="000000"/>
          <w:sz w:val="20"/>
          <w:szCs w:val="20"/>
          <w:lang w:eastAsia="en-GB"/>
        </w:rPr>
      </w:pPr>
    </w:p>
    <w:p w14:paraId="3749B5AD" w14:textId="77777777" w:rsidR="00C94BBE" w:rsidRDefault="00C94BBE" w:rsidP="00C94BBE">
      <w:pPr>
        <w:shd w:val="clear" w:color="auto" w:fill="FFFFFF"/>
        <w:spacing w:after="240" w:line="276" w:lineRule="auto"/>
        <w:jc w:val="both"/>
        <w:rPr>
          <w:rFonts w:ascii="Arial" w:hAnsi="Arial" w:cs="Arial"/>
          <w:b/>
          <w:bCs/>
          <w:color w:val="000000"/>
          <w:sz w:val="20"/>
          <w:szCs w:val="20"/>
          <w:lang w:eastAsia="en-GB"/>
        </w:rPr>
      </w:pPr>
      <w:r>
        <w:rPr>
          <w:rFonts w:ascii="Arial" w:hAnsi="Arial" w:cs="Arial"/>
          <w:noProof/>
          <w:color w:val="000000"/>
          <w:sz w:val="20"/>
          <w:szCs w:val="20"/>
          <w:lang w:eastAsia="en-GB"/>
        </w:rPr>
        <w:drawing>
          <wp:inline distT="0" distB="0" distL="0" distR="0" wp14:anchorId="5A50F3E0" wp14:editId="6EA8BBCD">
            <wp:extent cx="5731510" cy="981710"/>
            <wp:effectExtent l="0" t="0" r="2540" b="8890"/>
            <wp:docPr id="1805644162" name="Picture 1" descr="A close up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644162" name="Picture 1" descr="A close up of a graph&#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981710"/>
                    </a:xfrm>
                    <a:prstGeom prst="rect">
                      <a:avLst/>
                    </a:prstGeom>
                  </pic:spPr>
                </pic:pic>
              </a:graphicData>
            </a:graphic>
          </wp:inline>
        </w:drawing>
      </w:r>
    </w:p>
    <w:p w14:paraId="21CB8F08" w14:textId="77777777" w:rsidR="00C94BBE" w:rsidRDefault="00C94BBE" w:rsidP="00C94BBE">
      <w:pPr>
        <w:shd w:val="clear" w:color="auto" w:fill="FFFFFF"/>
        <w:spacing w:after="240" w:line="276" w:lineRule="auto"/>
        <w:jc w:val="both"/>
        <w:rPr>
          <w:rFonts w:ascii="Arial" w:hAnsi="Arial" w:cs="Arial"/>
          <w:color w:val="000000"/>
          <w:sz w:val="20"/>
          <w:szCs w:val="20"/>
          <w:lang w:eastAsia="en-GB"/>
        </w:rPr>
      </w:pPr>
      <w:r>
        <w:rPr>
          <w:rFonts w:ascii="Arial" w:hAnsi="Arial" w:cs="Arial"/>
          <w:b/>
          <w:bCs/>
          <w:color w:val="000000"/>
          <w:sz w:val="20"/>
          <w:szCs w:val="20"/>
          <w:lang w:eastAsia="en-GB"/>
        </w:rPr>
        <w:t xml:space="preserve">Thursday 14 November, 2024 </w:t>
      </w:r>
      <w:r>
        <w:rPr>
          <w:rFonts w:ascii="Arial" w:hAnsi="Arial" w:cs="Arial"/>
          <w:color w:val="000000"/>
          <w:sz w:val="20"/>
          <w:szCs w:val="20"/>
          <w:lang w:eastAsia="en-GB"/>
        </w:rPr>
        <w:t>New heavy goods vehicle (HGV) registrations fell by -6.0% in the third quarter, according to the latest figures published today by the Society of Motor Manufacturers and Traders (SMMT). The decline was in comparison with Q3 last year, when uptake surged above pre-pandemic levels to fulfil pent-up demand. Demand in Q3 2024 remained robust, at 26.7% above the same quarter in 2019.</w:t>
      </w:r>
      <w:r>
        <w:rPr>
          <w:rFonts w:ascii="Arial" w:hAnsi="Arial" w:cs="Arial"/>
          <w:color w:val="000000"/>
          <w:sz w:val="20"/>
          <w:szCs w:val="20"/>
          <w:vertAlign w:val="superscript"/>
          <w:lang w:eastAsia="en-GB"/>
        </w:rPr>
        <w:t>1</w:t>
      </w:r>
    </w:p>
    <w:p w14:paraId="193AEFF0" w14:textId="0030CBC8" w:rsidR="00C94BBE" w:rsidRDefault="00C94BBE" w:rsidP="00C94BBE">
      <w:pPr>
        <w:shd w:val="clear" w:color="auto" w:fill="FFFFFF"/>
        <w:spacing w:after="240" w:line="276" w:lineRule="auto"/>
        <w:jc w:val="both"/>
        <w:rPr>
          <w:rFonts w:ascii="Arial" w:hAnsi="Arial" w:cs="Arial"/>
          <w:color w:val="000000"/>
          <w:sz w:val="20"/>
          <w:szCs w:val="20"/>
          <w:lang w:eastAsia="en-GB"/>
        </w:rPr>
      </w:pPr>
      <w:r>
        <w:rPr>
          <w:rFonts w:ascii="Arial" w:hAnsi="Arial" w:cs="Arial"/>
          <w:color w:val="000000"/>
          <w:sz w:val="20"/>
          <w:szCs w:val="20"/>
          <w:lang w:eastAsia="en-GB"/>
        </w:rPr>
        <w:t xml:space="preserve">Between July and September, 10,839 new HGVs joined fleets across the country, with growth recorded in rigids, rising </w:t>
      </w:r>
      <w:r w:rsidR="00B55B9B">
        <w:rPr>
          <w:rFonts w:ascii="Arial" w:hAnsi="Arial" w:cs="Arial"/>
          <w:color w:val="000000"/>
          <w:sz w:val="20"/>
          <w:szCs w:val="20"/>
          <w:lang w:eastAsia="en-GB"/>
        </w:rPr>
        <w:t>6</w:t>
      </w:r>
      <w:r>
        <w:rPr>
          <w:rFonts w:ascii="Arial" w:hAnsi="Arial" w:cs="Arial"/>
          <w:color w:val="000000"/>
          <w:sz w:val="20"/>
          <w:szCs w:val="20"/>
          <w:lang w:eastAsia="en-GB"/>
        </w:rPr>
        <w:t>.0% to reach 6,668 units to achieve a 61.5% market share. Conversely, artic volumes continued to decline, down -</w:t>
      </w:r>
      <w:r w:rsidR="00B55B9B">
        <w:rPr>
          <w:rFonts w:ascii="Arial" w:hAnsi="Arial" w:cs="Arial"/>
          <w:color w:val="000000"/>
          <w:sz w:val="20"/>
          <w:szCs w:val="20"/>
          <w:lang w:eastAsia="en-GB"/>
        </w:rPr>
        <w:t>20.4</w:t>
      </w:r>
      <w:r>
        <w:rPr>
          <w:rFonts w:ascii="Arial" w:hAnsi="Arial" w:cs="Arial"/>
          <w:color w:val="000000"/>
          <w:sz w:val="20"/>
          <w:szCs w:val="20"/>
          <w:lang w:eastAsia="en-GB"/>
        </w:rPr>
        <w:t>% to 4,171 units.</w:t>
      </w:r>
    </w:p>
    <w:p w14:paraId="05138F5A" w14:textId="57548881" w:rsidR="00C94BBE" w:rsidRDefault="00C94BBE" w:rsidP="00C94BBE">
      <w:pPr>
        <w:shd w:val="clear" w:color="auto" w:fill="FFFFFF"/>
        <w:spacing w:after="240" w:line="276" w:lineRule="auto"/>
        <w:jc w:val="both"/>
        <w:rPr>
          <w:rFonts w:ascii="Arial" w:hAnsi="Arial" w:cs="Arial"/>
          <w:color w:val="000000"/>
          <w:sz w:val="20"/>
          <w:szCs w:val="20"/>
          <w:lang w:eastAsia="en-GB"/>
        </w:rPr>
      </w:pPr>
      <w:r>
        <w:rPr>
          <w:rFonts w:ascii="Arial" w:hAnsi="Arial" w:cs="Arial"/>
          <w:color w:val="000000"/>
          <w:sz w:val="20"/>
          <w:szCs w:val="20"/>
          <w:lang w:eastAsia="en-GB"/>
        </w:rPr>
        <w:t xml:space="preserve">Of the top five body types, box vans were the only one to see volumes increase, up by 23.9%. Tractor units, </w:t>
      </w:r>
      <w:proofErr w:type="spellStart"/>
      <w:r>
        <w:rPr>
          <w:rFonts w:ascii="Arial" w:hAnsi="Arial" w:cs="Arial"/>
          <w:color w:val="000000"/>
          <w:sz w:val="20"/>
          <w:szCs w:val="20"/>
          <w:lang w:eastAsia="en-GB"/>
        </w:rPr>
        <w:t>curtainsiders</w:t>
      </w:r>
      <w:proofErr w:type="spellEnd"/>
      <w:r>
        <w:rPr>
          <w:rFonts w:ascii="Arial" w:hAnsi="Arial" w:cs="Arial"/>
          <w:color w:val="000000"/>
          <w:sz w:val="20"/>
          <w:szCs w:val="20"/>
          <w:lang w:eastAsia="en-GB"/>
        </w:rPr>
        <w:t>, tippers and refuse vehicles all recorded declines, down -21.0%, -5.0%, -11.8% and -6.0% respectively. As</w:t>
      </w:r>
      <w:r w:rsidR="00B55B9B">
        <w:rPr>
          <w:rFonts w:ascii="Arial" w:hAnsi="Arial" w:cs="Arial"/>
          <w:color w:val="000000"/>
          <w:sz w:val="20"/>
          <w:szCs w:val="20"/>
          <w:lang w:eastAsia="en-GB"/>
        </w:rPr>
        <w:t xml:space="preserve"> a</w:t>
      </w:r>
      <w:r>
        <w:rPr>
          <w:rFonts w:ascii="Arial" w:hAnsi="Arial" w:cs="Arial"/>
          <w:color w:val="000000"/>
          <w:sz w:val="20"/>
          <w:szCs w:val="20"/>
          <w:lang w:eastAsia="en-GB"/>
        </w:rPr>
        <w:t xml:space="preserve"> result, the overall market year-to-date is down slightly, by -2.5%, but this is compared with last year’s flourishing market that grew 16.4% in the first nine months.</w:t>
      </w:r>
    </w:p>
    <w:p w14:paraId="5A6F15E8" w14:textId="3801471E" w:rsidR="00C94BBE" w:rsidRDefault="00C94BBE" w:rsidP="00C94BBE">
      <w:pPr>
        <w:shd w:val="clear" w:color="auto" w:fill="FFFFFF"/>
        <w:spacing w:after="240" w:line="276" w:lineRule="auto"/>
        <w:jc w:val="both"/>
        <w:rPr>
          <w:rFonts w:ascii="Arial" w:hAnsi="Arial" w:cs="Arial"/>
          <w:color w:val="000000"/>
          <w:sz w:val="20"/>
          <w:szCs w:val="20"/>
          <w:lang w:eastAsia="en-GB"/>
        </w:rPr>
      </w:pPr>
      <w:r>
        <w:rPr>
          <w:rFonts w:ascii="Arial" w:hAnsi="Arial" w:cs="Arial"/>
          <w:color w:val="000000"/>
          <w:sz w:val="20"/>
          <w:szCs w:val="20"/>
          <w:lang w:eastAsia="en-GB"/>
        </w:rPr>
        <w:t>While the UK remains Europe’s second largest zero-emission truck market by volume</w:t>
      </w:r>
      <w:r>
        <w:rPr>
          <w:rFonts w:ascii="Arial" w:hAnsi="Arial" w:cs="Arial"/>
          <w:color w:val="000000"/>
          <w:sz w:val="20"/>
          <w:szCs w:val="20"/>
          <w:vertAlign w:val="superscript"/>
          <w:lang w:eastAsia="en-GB"/>
        </w:rPr>
        <w:t>2</w:t>
      </w:r>
      <w:r>
        <w:rPr>
          <w:rFonts w:ascii="Arial" w:hAnsi="Arial" w:cs="Arial"/>
          <w:color w:val="000000"/>
          <w:sz w:val="20"/>
          <w:szCs w:val="20"/>
          <w:lang w:eastAsia="en-GB"/>
        </w:rPr>
        <w:t>, uptake almost halved during Q3, down -47.</w:t>
      </w:r>
      <w:r w:rsidR="00CD3610">
        <w:rPr>
          <w:rFonts w:ascii="Arial" w:hAnsi="Arial" w:cs="Arial"/>
          <w:color w:val="000000"/>
          <w:sz w:val="20"/>
          <w:szCs w:val="20"/>
          <w:lang w:eastAsia="en-GB"/>
        </w:rPr>
        <w:t>5</w:t>
      </w:r>
      <w:r>
        <w:rPr>
          <w:rFonts w:ascii="Arial" w:hAnsi="Arial" w:cs="Arial"/>
          <w:color w:val="000000"/>
          <w:sz w:val="20"/>
          <w:szCs w:val="20"/>
          <w:lang w:eastAsia="en-GB"/>
        </w:rPr>
        <w:t xml:space="preserve">% to achieve a market share of 0.5%, down from 0.8% in Q3 last year. Operators continue to face significant barriers which prevent them from having the confidence to invest in ZEVs at a larger scale. Dedicated HGV public chargepoint provision remains severely limited, while uptake from an ever-increasing choice of ZEV trucks is also stymied by a grant system that involves a lengthy application process and covers less than half of all available models. </w:t>
      </w:r>
    </w:p>
    <w:p w14:paraId="72A8578B" w14:textId="77777777" w:rsidR="00C94BBE" w:rsidRDefault="00C94BBE" w:rsidP="00C94BBE">
      <w:pPr>
        <w:shd w:val="clear" w:color="auto" w:fill="FFFFFF"/>
        <w:spacing w:after="240" w:line="276" w:lineRule="auto"/>
        <w:jc w:val="both"/>
        <w:rPr>
          <w:rFonts w:ascii="Arial" w:hAnsi="Arial" w:cs="Arial"/>
          <w:color w:val="000000"/>
          <w:sz w:val="20"/>
          <w:szCs w:val="20"/>
          <w:lang w:eastAsia="en-GB"/>
        </w:rPr>
      </w:pPr>
      <w:r>
        <w:rPr>
          <w:rFonts w:ascii="Arial" w:hAnsi="Arial" w:cs="Arial"/>
          <w:color w:val="000000"/>
          <w:sz w:val="20"/>
          <w:szCs w:val="20"/>
          <w:lang w:eastAsia="en-GB"/>
        </w:rPr>
        <w:t xml:space="preserve">Year-to-date, the ZEV share of the HGV market remains unchanged from last year at 0.5% of the market – yet the end of sale date for non-ZEVs under 26 tonnes is the </w:t>
      </w:r>
      <w:r w:rsidRPr="00563BD7">
        <w:rPr>
          <w:rFonts w:ascii="Arial" w:hAnsi="Arial" w:cs="Arial"/>
          <w:sz w:val="20"/>
          <w:szCs w:val="20"/>
          <w:lang w:eastAsia="en-GB"/>
        </w:rPr>
        <w:t xml:space="preserve">same as that currently for cars, where </w:t>
      </w:r>
      <w:r>
        <w:rPr>
          <w:rFonts w:ascii="Arial" w:hAnsi="Arial" w:cs="Arial"/>
          <w:color w:val="000000"/>
          <w:sz w:val="20"/>
          <w:szCs w:val="20"/>
          <w:lang w:eastAsia="en-GB"/>
        </w:rPr>
        <w:t>market share is almost 40 times higher (18.1%). A national infrastructure plan and reform to the grant, would help boost operator confidence and stimulate greater uptake – vital for fleet renewal and reducing road transport emissions today.</w:t>
      </w:r>
    </w:p>
    <w:p w14:paraId="3F336FC6" w14:textId="77777777" w:rsidR="00C94BBE" w:rsidRDefault="00C94BBE" w:rsidP="00C94BBE">
      <w:pPr>
        <w:shd w:val="clear" w:color="auto" w:fill="FFFFFF"/>
        <w:spacing w:after="240" w:line="276" w:lineRule="auto"/>
        <w:jc w:val="both"/>
        <w:rPr>
          <w:rFonts w:ascii="Arial" w:hAnsi="Arial" w:cs="Arial"/>
          <w:color w:val="000000"/>
          <w:sz w:val="20"/>
          <w:szCs w:val="20"/>
          <w:lang w:eastAsia="en-GB"/>
        </w:rPr>
      </w:pPr>
      <w:r>
        <w:rPr>
          <w:rFonts w:ascii="Arial" w:hAnsi="Arial" w:cs="Arial"/>
          <w:b/>
          <w:bCs/>
          <w:color w:val="000000"/>
          <w:sz w:val="20"/>
          <w:szCs w:val="20"/>
          <w:lang w:eastAsia="en-GB"/>
        </w:rPr>
        <w:lastRenderedPageBreak/>
        <w:t>Mike Hawes, SMMT Chief Executive</w:t>
      </w:r>
      <w:r>
        <w:rPr>
          <w:rFonts w:ascii="Arial" w:hAnsi="Arial" w:cs="Arial"/>
          <w:color w:val="000000"/>
          <w:sz w:val="20"/>
          <w:szCs w:val="20"/>
          <w:lang w:eastAsia="en-GB"/>
        </w:rPr>
        <w:t>, said: “After last year’s surge in truck demand, one quarter of decline is not a cause for serious concern. Falling zero emission truck uptake, however, is another matter, showing the market is struggling to keep up with ambition. Reforming the Plug-in Truck Grant and more rapidly rolling out infrastructure would help encourage more operators to switch to zero emission vehicles sooner, instead of delaying their transition and decarbonisation.”</w:t>
      </w:r>
    </w:p>
    <w:p w14:paraId="3353D792" w14:textId="77777777" w:rsidR="00C94BBE" w:rsidRDefault="00C94BBE" w:rsidP="00C94BBE">
      <w:pPr>
        <w:shd w:val="clear" w:color="auto" w:fill="FFFFFF"/>
        <w:spacing w:after="240" w:line="276" w:lineRule="auto"/>
        <w:jc w:val="center"/>
        <w:rPr>
          <w:rFonts w:ascii="Arial" w:hAnsi="Arial" w:cs="Arial"/>
          <w:color w:val="000000"/>
          <w:sz w:val="20"/>
          <w:szCs w:val="20"/>
          <w:lang w:eastAsia="en-GB"/>
        </w:rPr>
      </w:pPr>
      <w:r>
        <w:rPr>
          <w:rFonts w:ascii="Arial" w:hAnsi="Arial" w:cs="Arial"/>
          <w:noProof/>
          <w:color w:val="000000"/>
          <w:sz w:val="20"/>
          <w:szCs w:val="20"/>
          <w:lang w:eastAsia="en-GB"/>
        </w:rPr>
        <w:drawing>
          <wp:inline distT="0" distB="0" distL="0" distR="0" wp14:anchorId="5A39A919" wp14:editId="71190736">
            <wp:extent cx="3654552" cy="1331976"/>
            <wp:effectExtent l="0" t="0" r="3175" b="1905"/>
            <wp:docPr id="1741932009" name="Picture 2" descr="A table with number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32009" name="Picture 2" descr="A table with numbers and number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54552" cy="1331976"/>
                    </a:xfrm>
                    <a:prstGeom prst="rect">
                      <a:avLst/>
                    </a:prstGeom>
                  </pic:spPr>
                </pic:pic>
              </a:graphicData>
            </a:graphic>
          </wp:inline>
        </w:drawing>
      </w:r>
    </w:p>
    <w:p w14:paraId="3281D14F" w14:textId="2342D388" w:rsidR="00C94BBE" w:rsidRDefault="00B55B9B" w:rsidP="00C94BBE">
      <w:pPr>
        <w:shd w:val="clear" w:color="auto" w:fill="FFFFFF"/>
        <w:spacing w:after="240" w:line="276" w:lineRule="auto"/>
        <w:jc w:val="center"/>
        <w:rPr>
          <w:rFonts w:ascii="Arial" w:hAnsi="Arial" w:cs="Arial"/>
          <w:color w:val="000000"/>
          <w:sz w:val="20"/>
          <w:szCs w:val="20"/>
          <w:lang w:eastAsia="en-GB"/>
        </w:rPr>
      </w:pPr>
      <w:r>
        <w:rPr>
          <w:rFonts w:ascii="Arial" w:hAnsi="Arial" w:cs="Arial"/>
          <w:noProof/>
          <w:color w:val="000000"/>
          <w:sz w:val="20"/>
          <w:szCs w:val="20"/>
          <w:lang w:eastAsia="en-GB"/>
          <w14:ligatures w14:val="standardContextual"/>
        </w:rPr>
        <w:drawing>
          <wp:inline distT="0" distB="0" distL="0" distR="0" wp14:anchorId="55B9DD60" wp14:editId="24404257">
            <wp:extent cx="5731510" cy="1674495"/>
            <wp:effectExtent l="0" t="0" r="2540" b="1905"/>
            <wp:docPr id="33635509" name="Picture 1" descr="A grey and white rectangular object with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35509" name="Picture 1" descr="A grey and white rectangular object with text&#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1674495"/>
                    </a:xfrm>
                    <a:prstGeom prst="rect">
                      <a:avLst/>
                    </a:prstGeom>
                  </pic:spPr>
                </pic:pic>
              </a:graphicData>
            </a:graphic>
          </wp:inline>
        </w:drawing>
      </w:r>
    </w:p>
    <w:p w14:paraId="3947924D" w14:textId="3C5D4A89" w:rsidR="00C94BBE" w:rsidRDefault="00B55B9B" w:rsidP="00C94BBE">
      <w:pPr>
        <w:shd w:val="clear" w:color="auto" w:fill="FFFFFF"/>
        <w:spacing w:after="240" w:line="276" w:lineRule="auto"/>
        <w:jc w:val="both"/>
        <w:rPr>
          <w:rFonts w:ascii="Arial" w:hAnsi="Arial" w:cs="Arial"/>
          <w:color w:val="000000"/>
          <w:sz w:val="20"/>
          <w:szCs w:val="20"/>
          <w:lang w:eastAsia="en-GB"/>
        </w:rPr>
      </w:pPr>
      <w:r>
        <w:rPr>
          <w:rFonts w:ascii="Arial" w:hAnsi="Arial" w:cs="Arial"/>
          <w:noProof/>
          <w:color w:val="000000"/>
          <w:sz w:val="20"/>
          <w:szCs w:val="20"/>
          <w:lang w:eastAsia="en-GB"/>
          <w14:ligatures w14:val="standardContextual"/>
        </w:rPr>
        <w:drawing>
          <wp:inline distT="0" distB="0" distL="0" distR="0" wp14:anchorId="62014A47" wp14:editId="7A157541">
            <wp:extent cx="5731510" cy="2023745"/>
            <wp:effectExtent l="0" t="0" r="2540" b="0"/>
            <wp:docPr id="1476059744" name="Picture 2" descr="A graph with numbers and a number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059744" name="Picture 2" descr="A graph with numbers and a number on it&#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2023745"/>
                    </a:xfrm>
                    <a:prstGeom prst="rect">
                      <a:avLst/>
                    </a:prstGeom>
                  </pic:spPr>
                </pic:pic>
              </a:graphicData>
            </a:graphic>
          </wp:inline>
        </w:drawing>
      </w:r>
    </w:p>
    <w:p w14:paraId="09C45C35" w14:textId="77777777" w:rsidR="00C94BBE" w:rsidRDefault="00C94BBE" w:rsidP="00C94BBE">
      <w:pPr>
        <w:spacing w:line="276" w:lineRule="auto"/>
        <w:rPr>
          <w:rFonts w:ascii="Arial" w:hAnsi="Arial" w:cs="Arial"/>
          <w:color w:val="000000"/>
          <w:lang w:eastAsia="en-GB"/>
        </w:rPr>
      </w:pPr>
      <w:r>
        <w:rPr>
          <w:rFonts w:ascii="Arial" w:hAnsi="Arial" w:cs="Arial"/>
          <w:noProof/>
          <w:color w:val="000000"/>
          <w:lang w:eastAsia="en-GB"/>
        </w:rPr>
        <w:lastRenderedPageBreak/>
        <w:drawing>
          <wp:inline distT="0" distB="0" distL="0" distR="0" wp14:anchorId="0681614C" wp14:editId="2C7E562F">
            <wp:extent cx="5477256" cy="3633216"/>
            <wp:effectExtent l="0" t="0" r="0" b="5715"/>
            <wp:docPr id="890040792" name="Picture 5" descr="A graph showing the amount of weight in blu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040792" name="Picture 5" descr="A graph showing the amount of weight in blue&#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77256" cy="3633216"/>
                    </a:xfrm>
                    <a:prstGeom prst="rect">
                      <a:avLst/>
                    </a:prstGeom>
                  </pic:spPr>
                </pic:pic>
              </a:graphicData>
            </a:graphic>
          </wp:inline>
        </w:drawing>
      </w:r>
    </w:p>
    <w:p w14:paraId="4D1214A0" w14:textId="77777777" w:rsidR="00C94BBE" w:rsidRDefault="00C94BBE" w:rsidP="00C94BBE">
      <w:pPr>
        <w:spacing w:line="276" w:lineRule="auto"/>
        <w:rPr>
          <w:rFonts w:ascii="Arial" w:hAnsi="Arial" w:cs="Arial"/>
          <w:color w:val="000000"/>
          <w:lang w:eastAsia="en-GB"/>
        </w:rPr>
      </w:pPr>
    </w:p>
    <w:p w14:paraId="49AE20E1" w14:textId="77777777" w:rsidR="00C94BBE" w:rsidRDefault="00C94BBE" w:rsidP="00C94BBE">
      <w:pPr>
        <w:spacing w:line="276" w:lineRule="auto"/>
        <w:rPr>
          <w:rFonts w:ascii="Arial" w:hAnsi="Arial" w:cs="Arial"/>
          <w:color w:val="000000"/>
          <w:lang w:eastAsia="en-GB"/>
        </w:rPr>
      </w:pPr>
      <w:r>
        <w:rPr>
          <w:rFonts w:ascii="Arial" w:hAnsi="Arial" w:cs="Arial"/>
          <w:noProof/>
          <w:color w:val="000000"/>
          <w:lang w:eastAsia="en-GB"/>
        </w:rPr>
        <w:drawing>
          <wp:inline distT="0" distB="0" distL="0" distR="0" wp14:anchorId="05BD1E0C" wp14:editId="43366516">
            <wp:extent cx="5731510" cy="2886710"/>
            <wp:effectExtent l="0" t="0" r="2540" b="8890"/>
            <wp:docPr id="68791561" name="Picture 6" descr="A graph of blue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91561" name="Picture 6" descr="A graph of blue bars&#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2886710"/>
                    </a:xfrm>
                    <a:prstGeom prst="rect">
                      <a:avLst/>
                    </a:prstGeom>
                  </pic:spPr>
                </pic:pic>
              </a:graphicData>
            </a:graphic>
          </wp:inline>
        </w:drawing>
      </w:r>
    </w:p>
    <w:p w14:paraId="38304103" w14:textId="77777777" w:rsidR="00C94BBE" w:rsidRDefault="00C94BBE" w:rsidP="00C94BBE">
      <w:pPr>
        <w:spacing w:line="276" w:lineRule="auto"/>
        <w:rPr>
          <w:rFonts w:ascii="Arial" w:hAnsi="Arial" w:cs="Arial"/>
          <w:color w:val="000000"/>
          <w:lang w:eastAsia="en-GB"/>
        </w:rPr>
      </w:pPr>
    </w:p>
    <w:p w14:paraId="2E3AF1CC" w14:textId="77777777" w:rsidR="00C94BBE" w:rsidRDefault="00C94BBE" w:rsidP="00C94BBE">
      <w:pPr>
        <w:spacing w:line="276" w:lineRule="auto"/>
        <w:rPr>
          <w:rFonts w:ascii="Arial" w:hAnsi="Arial" w:cs="Arial"/>
          <w:b/>
          <w:bCs/>
          <w:color w:val="1074CB"/>
          <w:sz w:val="16"/>
          <w:szCs w:val="16"/>
          <w:u w:val="single"/>
          <w:lang w:eastAsia="en-GB"/>
        </w:rPr>
      </w:pPr>
      <w:r>
        <w:rPr>
          <w:rFonts w:ascii="Arial" w:hAnsi="Arial" w:cs="Arial"/>
          <w:color w:val="000000"/>
          <w:lang w:eastAsia="en-GB"/>
        </w:rPr>
        <w:br/>
      </w:r>
      <w:r>
        <w:rPr>
          <w:rFonts w:ascii="Arial" w:hAnsi="Arial" w:cs="Arial"/>
          <w:b/>
          <w:bCs/>
          <w:color w:val="1074CB"/>
          <w:sz w:val="16"/>
          <w:szCs w:val="16"/>
          <w:u w:val="single"/>
          <w:lang w:eastAsia="en-GB"/>
        </w:rPr>
        <w:t>Notes to editors</w:t>
      </w:r>
    </w:p>
    <w:p w14:paraId="265AF38E" w14:textId="63769B72" w:rsidR="00C94BBE" w:rsidRPr="00392B8E" w:rsidRDefault="00C94BBE" w:rsidP="00C94BBE">
      <w:pPr>
        <w:spacing w:line="276" w:lineRule="auto"/>
        <w:rPr>
          <w:rFonts w:ascii="Arial" w:hAnsi="Arial" w:cs="Arial"/>
          <w:color w:val="1074CB"/>
          <w:sz w:val="16"/>
          <w:szCs w:val="16"/>
          <w:lang w:eastAsia="en-GB"/>
        </w:rPr>
      </w:pPr>
      <w:r w:rsidRPr="00392B8E">
        <w:rPr>
          <w:rFonts w:ascii="Arial" w:hAnsi="Arial" w:cs="Arial"/>
          <w:color w:val="1074CB"/>
          <w:sz w:val="16"/>
          <w:szCs w:val="16"/>
          <w:lang w:eastAsia="en-GB"/>
        </w:rPr>
        <w:t>1 Q</w:t>
      </w:r>
      <w:r w:rsidR="00B55B9B">
        <w:rPr>
          <w:rFonts w:ascii="Arial" w:hAnsi="Arial" w:cs="Arial"/>
          <w:color w:val="1074CB"/>
          <w:sz w:val="16"/>
          <w:szCs w:val="16"/>
          <w:lang w:eastAsia="en-GB"/>
        </w:rPr>
        <w:t>3</w:t>
      </w:r>
      <w:r w:rsidRPr="00392B8E">
        <w:rPr>
          <w:rFonts w:ascii="Arial" w:hAnsi="Arial" w:cs="Arial"/>
          <w:color w:val="1074CB"/>
          <w:sz w:val="16"/>
          <w:szCs w:val="16"/>
          <w:lang w:eastAsia="en-GB"/>
        </w:rPr>
        <w:t xml:space="preserve"> 2019: </w:t>
      </w:r>
      <w:r w:rsidR="00CD3610">
        <w:rPr>
          <w:rFonts w:ascii="Arial" w:hAnsi="Arial" w:cs="Arial"/>
          <w:color w:val="1074CB"/>
          <w:sz w:val="16"/>
          <w:szCs w:val="16"/>
          <w:lang w:eastAsia="en-GB"/>
        </w:rPr>
        <w:t>8,5</w:t>
      </w:r>
      <w:r w:rsidRPr="00392B8E">
        <w:rPr>
          <w:rFonts w:ascii="Arial" w:hAnsi="Arial" w:cs="Arial"/>
          <w:color w:val="1074CB"/>
          <w:sz w:val="16"/>
          <w:szCs w:val="16"/>
          <w:lang w:eastAsia="en-GB"/>
        </w:rPr>
        <w:t>57 units</w:t>
      </w:r>
    </w:p>
    <w:p w14:paraId="0A3E5D44" w14:textId="77777777" w:rsidR="00C94BBE" w:rsidRDefault="00C94BBE" w:rsidP="00C94BBE">
      <w:pPr>
        <w:spacing w:line="276" w:lineRule="auto"/>
        <w:rPr>
          <w:rFonts w:ascii="Arial" w:hAnsi="Arial" w:cs="Arial"/>
          <w:color w:val="1074CB"/>
          <w:sz w:val="16"/>
          <w:szCs w:val="16"/>
          <w:lang w:eastAsia="en-GB"/>
        </w:rPr>
      </w:pPr>
      <w:r w:rsidRPr="00392B8E">
        <w:rPr>
          <w:rFonts w:ascii="Arial" w:hAnsi="Arial" w:cs="Arial"/>
          <w:color w:val="1074CB"/>
          <w:sz w:val="16"/>
          <w:szCs w:val="16"/>
          <w:lang w:eastAsia="en-GB"/>
        </w:rPr>
        <w:t>2</w:t>
      </w:r>
      <w:r w:rsidRPr="00392B8E">
        <w:rPr>
          <w:rFonts w:ascii="Arial" w:hAnsi="Arial" w:cs="Arial"/>
          <w:b/>
          <w:bCs/>
          <w:color w:val="1074CB"/>
          <w:sz w:val="16"/>
          <w:szCs w:val="16"/>
          <w:lang w:eastAsia="en-GB"/>
        </w:rPr>
        <w:t xml:space="preserve"> </w:t>
      </w:r>
      <w:r w:rsidRPr="00392B8E">
        <w:rPr>
          <w:rFonts w:ascii="Arial" w:hAnsi="Arial" w:cs="Arial"/>
          <w:color w:val="1074CB"/>
          <w:sz w:val="16"/>
          <w:szCs w:val="16"/>
          <w:lang w:eastAsia="en-GB"/>
        </w:rPr>
        <w:t xml:space="preserve">ACEA </w:t>
      </w:r>
      <w:hyperlink r:id="rId12" w:history="1">
        <w:r w:rsidRPr="00392B8E">
          <w:rPr>
            <w:rStyle w:val="Hyperlink"/>
            <w:rFonts w:ascii="Arial" w:hAnsi="Arial" w:cs="Arial"/>
            <w:sz w:val="16"/>
            <w:szCs w:val="16"/>
            <w:lang w:eastAsia="en-GB"/>
          </w:rPr>
          <w:t>New commercial vehicle registrations Q1-Q3 2024</w:t>
        </w:r>
      </w:hyperlink>
      <w:r w:rsidRPr="00392B8E">
        <w:rPr>
          <w:rFonts w:ascii="Arial" w:hAnsi="Arial" w:cs="Arial"/>
          <w:color w:val="1074CB"/>
          <w:sz w:val="16"/>
          <w:szCs w:val="16"/>
          <w:lang w:eastAsia="en-GB"/>
        </w:rPr>
        <w:t xml:space="preserve">. </w:t>
      </w:r>
      <w:r>
        <w:rPr>
          <w:rFonts w:ascii="Arial" w:hAnsi="Arial" w:cs="Arial"/>
          <w:color w:val="1074CB"/>
          <w:sz w:val="16"/>
          <w:szCs w:val="16"/>
          <w:lang w:eastAsia="en-GB"/>
        </w:rPr>
        <w:t>Germany is Europe’s largest market for vehicles &gt;16t that are electrically chargeable, at 2,377 units</w:t>
      </w:r>
    </w:p>
    <w:p w14:paraId="158CA28B" w14:textId="77777777" w:rsidR="00C94BBE" w:rsidRDefault="00C94BBE" w:rsidP="00C94BBE">
      <w:pPr>
        <w:spacing w:line="276" w:lineRule="auto"/>
      </w:pPr>
      <w:r>
        <w:rPr>
          <w:rFonts w:ascii="Arial" w:hAnsi="Arial" w:cs="Arial"/>
          <w:b/>
          <w:bCs/>
          <w:color w:val="1074CB"/>
          <w:sz w:val="16"/>
          <w:szCs w:val="16"/>
          <w:lang w:eastAsia="en-GB"/>
        </w:rPr>
        <w:br/>
        <w:t xml:space="preserve">                  </w:t>
      </w:r>
      <w:r>
        <w:rPr>
          <w:rFonts w:ascii="Arial" w:hAnsi="Arial" w:cs="Arial"/>
          <w:lang w:eastAsia="en-GB"/>
        </w:rPr>
        <w:br/>
      </w:r>
      <w:r>
        <w:rPr>
          <w:rFonts w:ascii="Arial" w:hAnsi="Arial" w:cs="Arial"/>
          <w:b/>
          <w:bCs/>
          <w:color w:val="1074CB"/>
          <w:sz w:val="16"/>
          <w:szCs w:val="16"/>
          <w:lang w:eastAsia="en-GB"/>
        </w:rPr>
        <w:t>About SMMT and the UK automotive industry</w:t>
      </w:r>
    </w:p>
    <w:p w14:paraId="4F4461BF" w14:textId="77777777" w:rsidR="00C94BBE" w:rsidRPr="003D5170" w:rsidRDefault="00C94BBE" w:rsidP="00C94BBE">
      <w:pPr>
        <w:pStyle w:val="xxxmsonormal"/>
        <w:spacing w:before="0" w:beforeAutospacing="0" w:after="0" w:afterAutospacing="0" w:line="276" w:lineRule="auto"/>
        <w:rPr>
          <w:rFonts w:ascii="Arial" w:eastAsia="Calibri" w:hAnsi="Arial" w:cs="Arial"/>
          <w:b/>
          <w:color w:val="1074CB"/>
          <w:sz w:val="16"/>
          <w:szCs w:val="16"/>
        </w:rPr>
      </w:pPr>
      <w:r w:rsidRPr="003D5170">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0D66BF85" w14:textId="77777777" w:rsidR="00C94BBE" w:rsidRPr="003D5170" w:rsidRDefault="00C94BBE" w:rsidP="00C94BBE">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w:t>
      </w:r>
      <w:r w:rsidRPr="003D5170">
        <w:rPr>
          <w:rFonts w:ascii="Arial" w:eastAsia="Calibri" w:hAnsi="Arial" w:cs="Arial"/>
          <w:color w:val="1074CB"/>
          <w:sz w:val="16"/>
          <w:szCs w:val="16"/>
        </w:rPr>
        <w:lastRenderedPageBreak/>
        <w:t xml:space="preserve">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39CE10B5" w14:textId="77777777" w:rsidR="00C94BBE" w:rsidRDefault="00C94BBE" w:rsidP="00C94BBE">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BD7E927" w14:textId="1901EE08" w:rsidR="00C94BBE" w:rsidRPr="00B55B9B" w:rsidRDefault="00C94BBE" w:rsidP="00C94BBE">
      <w:pPr>
        <w:spacing w:before="100" w:beforeAutospacing="1" w:after="100" w:afterAutospacing="1" w:line="276" w:lineRule="auto"/>
        <w:rPr>
          <w:rFonts w:ascii="Arial" w:hAnsi="Arial" w:cs="Arial"/>
          <w:color w:val="1074CB"/>
          <w:sz w:val="16"/>
          <w:szCs w:val="16"/>
          <w:u w:val="single"/>
          <w:lang w:eastAsia="en-GB"/>
        </w:rPr>
      </w:pPr>
      <w:r>
        <w:rPr>
          <w:rFonts w:ascii="Arial" w:hAnsi="Arial" w:cs="Arial"/>
          <w:b/>
          <w:bCs/>
          <w:color w:val="1074CB"/>
          <w:sz w:val="16"/>
          <w:szCs w:val="16"/>
          <w:lang w:eastAsia="en-GB"/>
        </w:rPr>
        <w:t>SMMT media contacts</w:t>
      </w:r>
      <w:r>
        <w:rPr>
          <w:color w:val="1074CB"/>
          <w:lang w:eastAsia="en-GB"/>
        </w:rPr>
        <w:br/>
      </w:r>
      <w:r>
        <w:rPr>
          <w:rFonts w:ascii="Arial" w:hAnsi="Arial" w:cs="Arial"/>
          <w:color w:val="1074CB"/>
          <w:sz w:val="16"/>
          <w:szCs w:val="16"/>
          <w:lang w:eastAsia="en-GB"/>
        </w:rPr>
        <w:t xml:space="preserve">Paul Mauerhoff                       07809 522181            </w:t>
      </w:r>
      <w:hyperlink r:id="rId13" w:history="1">
        <w:r w:rsidRPr="00636E21">
          <w:rPr>
            <w:rStyle w:val="Hyperlink"/>
            <w:rFonts w:ascii="Arial" w:hAnsi="Arial" w:cs="Arial"/>
            <w:sz w:val="16"/>
            <w:szCs w:val="16"/>
            <w:lang w:eastAsia="en-GB"/>
          </w:rPr>
          <w:t>pmauerhoff@smmt.co.uk</w:t>
        </w:r>
      </w:hyperlink>
      <w:r>
        <w:rPr>
          <w:color w:val="1074CB"/>
          <w:lang w:eastAsia="en-GB"/>
        </w:rPr>
        <w:br/>
      </w:r>
      <w:r>
        <w:rPr>
          <w:rFonts w:ascii="Arial" w:hAnsi="Arial" w:cs="Arial"/>
          <w:color w:val="1074CB"/>
          <w:sz w:val="16"/>
          <w:szCs w:val="16"/>
          <w:lang w:eastAsia="en-GB"/>
        </w:rPr>
        <w:t xml:space="preserve">James Boley                           07927 668565            </w:t>
      </w:r>
      <w:hyperlink r:id="rId14" w:history="1">
        <w:r>
          <w:rPr>
            <w:rStyle w:val="Hyperlink"/>
            <w:rFonts w:ascii="Arial" w:hAnsi="Arial" w:cs="Arial"/>
            <w:color w:val="1074CB"/>
            <w:sz w:val="16"/>
            <w:szCs w:val="16"/>
            <w:lang w:eastAsia="en-GB"/>
          </w:rPr>
          <w:t>jboley@smmt.co.uk</w:t>
        </w:r>
      </w:hyperlink>
      <w:r>
        <w:rPr>
          <w:color w:val="1074CB"/>
          <w:lang w:eastAsia="en-GB"/>
        </w:rPr>
        <w:br/>
      </w:r>
      <w:r>
        <w:rPr>
          <w:rFonts w:ascii="Arial" w:hAnsi="Arial" w:cs="Arial"/>
          <w:color w:val="1074CB"/>
          <w:sz w:val="16"/>
          <w:szCs w:val="16"/>
          <w:lang w:eastAsia="en-GB"/>
        </w:rPr>
        <w:t xml:space="preserve">Rebecca Gibbs                       07708 480889            </w:t>
      </w:r>
      <w:hyperlink r:id="rId15" w:history="1">
        <w:r>
          <w:rPr>
            <w:rStyle w:val="Hyperlink"/>
            <w:rFonts w:ascii="Arial" w:hAnsi="Arial" w:cs="Arial"/>
            <w:color w:val="1074CB"/>
            <w:sz w:val="16"/>
            <w:szCs w:val="16"/>
            <w:lang w:eastAsia="en-GB"/>
          </w:rPr>
          <w:t>rgibbs@smmt.co.uk</w:t>
        </w:r>
      </w:hyperlink>
      <w:r>
        <w:rPr>
          <w:color w:val="1074CB"/>
          <w:lang w:eastAsia="en-GB"/>
        </w:rPr>
        <w:br/>
      </w:r>
      <w:r>
        <w:rPr>
          <w:rFonts w:ascii="Arial" w:hAnsi="Arial" w:cs="Arial"/>
          <w:color w:val="1074CB"/>
          <w:sz w:val="16"/>
          <w:szCs w:val="16"/>
          <w:lang w:eastAsia="en-GB"/>
        </w:rPr>
        <w:t xml:space="preserve">Scott Clarke                            07912 799959            </w:t>
      </w:r>
      <w:hyperlink r:id="rId16" w:history="1">
        <w:r>
          <w:rPr>
            <w:rStyle w:val="Hyperlink"/>
            <w:rFonts w:ascii="Arial" w:hAnsi="Arial" w:cs="Arial"/>
            <w:color w:val="1074CB"/>
            <w:sz w:val="16"/>
            <w:szCs w:val="16"/>
            <w:lang w:eastAsia="en-GB"/>
          </w:rPr>
          <w:t>sclarke@smmt.co.uk</w:t>
        </w:r>
      </w:hyperlink>
      <w:r>
        <w:rPr>
          <w:color w:val="1074CB"/>
          <w:lang w:eastAsia="en-GB"/>
        </w:rPr>
        <w:br/>
      </w:r>
      <w:r>
        <w:rPr>
          <w:rFonts w:ascii="Arial" w:hAnsi="Arial" w:cs="Arial"/>
          <w:color w:val="1074CB"/>
          <w:sz w:val="16"/>
          <w:szCs w:val="16"/>
          <w:lang w:eastAsia="en-GB"/>
        </w:rPr>
        <w:t xml:space="preserve">Emma Butcher                        07880 191825            </w:t>
      </w:r>
      <w:hyperlink r:id="rId17" w:history="1">
        <w:r>
          <w:rPr>
            <w:rStyle w:val="Hyperlink"/>
            <w:rFonts w:ascii="Arial" w:hAnsi="Arial" w:cs="Arial"/>
            <w:color w:val="1074CB"/>
            <w:sz w:val="16"/>
            <w:szCs w:val="16"/>
            <w:lang w:eastAsia="en-GB"/>
          </w:rPr>
          <w:t>ebutcher@smmt.co.uk</w:t>
        </w:r>
      </w:hyperlink>
      <w:r w:rsidR="00B55B9B">
        <w:rPr>
          <w:rStyle w:val="Hyperlink"/>
          <w:rFonts w:ascii="Arial" w:hAnsi="Arial" w:cs="Arial"/>
          <w:color w:val="1074CB"/>
          <w:sz w:val="16"/>
          <w:szCs w:val="16"/>
          <w:lang w:eastAsia="en-GB"/>
        </w:rPr>
        <w:br/>
      </w:r>
      <w:r w:rsidRPr="00B55B9B">
        <w:rPr>
          <w:rStyle w:val="Hyperlink"/>
          <w:rFonts w:ascii="Arial" w:hAnsi="Arial" w:cs="Arial"/>
          <w:color w:val="1074CB"/>
          <w:sz w:val="16"/>
          <w:szCs w:val="16"/>
          <w:u w:val="none"/>
          <w:lang w:eastAsia="en-GB"/>
        </w:rPr>
        <w:t xml:space="preserve">Abigail Smythe                       </w:t>
      </w:r>
      <w:r w:rsidRPr="00B55B9B">
        <w:rPr>
          <w:rFonts w:ascii="Arial" w:hAnsi="Arial" w:cs="Arial"/>
          <w:color w:val="1074CB"/>
          <w:sz w:val="16"/>
          <w:szCs w:val="16"/>
          <w:lang w:eastAsia="en-GB"/>
        </w:rPr>
        <w:t xml:space="preserve">07708480891              </w:t>
      </w:r>
      <w:r w:rsidRPr="00B55B9B">
        <w:rPr>
          <w:rFonts w:ascii="Arial" w:hAnsi="Arial" w:cs="Arial"/>
          <w:color w:val="1074CB"/>
          <w:sz w:val="16"/>
          <w:szCs w:val="16"/>
          <w:u w:val="single"/>
          <w:lang w:eastAsia="en-GB"/>
        </w:rPr>
        <w:t>asmythe@smmt.co.uk</w:t>
      </w:r>
    </w:p>
    <w:p w14:paraId="00E1B5A4" w14:textId="77777777" w:rsidR="007608E9" w:rsidRDefault="007608E9"/>
    <w:sectPr w:rsidR="007608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6365DC"/>
    <w:multiLevelType w:val="multilevel"/>
    <w:tmpl w:val="5F16514E"/>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16cid:durableId="15146099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BE"/>
    <w:rsid w:val="000E6B3D"/>
    <w:rsid w:val="00175CDB"/>
    <w:rsid w:val="001E2D8F"/>
    <w:rsid w:val="004C14E5"/>
    <w:rsid w:val="0054644F"/>
    <w:rsid w:val="007608E9"/>
    <w:rsid w:val="00B55B9B"/>
    <w:rsid w:val="00C94BBE"/>
    <w:rsid w:val="00CD3610"/>
    <w:rsid w:val="00D95CFA"/>
    <w:rsid w:val="00F32B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09B0A"/>
  <w15:chartTrackingRefBased/>
  <w15:docId w15:val="{3789BED2-ACF3-4E4C-85C6-5B7829ED1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BBE"/>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C94B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4B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4B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4B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4B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4BB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4BB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4BB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4BB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B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4B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4B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4B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4B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4B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4B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4B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4BBE"/>
    <w:rPr>
      <w:rFonts w:eastAsiaTheme="majorEastAsia" w:cstheme="majorBidi"/>
      <w:color w:val="272727" w:themeColor="text1" w:themeTint="D8"/>
    </w:rPr>
  </w:style>
  <w:style w:type="paragraph" w:styleId="Title">
    <w:name w:val="Title"/>
    <w:basedOn w:val="Normal"/>
    <w:next w:val="Normal"/>
    <w:link w:val="TitleChar"/>
    <w:uiPriority w:val="10"/>
    <w:qFormat/>
    <w:rsid w:val="00C94BB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4B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4B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4B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4BBE"/>
    <w:pPr>
      <w:spacing w:before="160"/>
      <w:jc w:val="center"/>
    </w:pPr>
    <w:rPr>
      <w:i/>
      <w:iCs/>
      <w:color w:val="404040" w:themeColor="text1" w:themeTint="BF"/>
    </w:rPr>
  </w:style>
  <w:style w:type="character" w:customStyle="1" w:styleId="QuoteChar">
    <w:name w:val="Quote Char"/>
    <w:basedOn w:val="DefaultParagraphFont"/>
    <w:link w:val="Quote"/>
    <w:uiPriority w:val="29"/>
    <w:rsid w:val="00C94BBE"/>
    <w:rPr>
      <w:i/>
      <w:iCs/>
      <w:color w:val="404040" w:themeColor="text1" w:themeTint="BF"/>
    </w:rPr>
  </w:style>
  <w:style w:type="paragraph" w:styleId="ListParagraph">
    <w:name w:val="List Paragraph"/>
    <w:basedOn w:val="Normal"/>
    <w:uiPriority w:val="34"/>
    <w:qFormat/>
    <w:rsid w:val="00C94BBE"/>
    <w:pPr>
      <w:ind w:left="720"/>
      <w:contextualSpacing/>
    </w:pPr>
  </w:style>
  <w:style w:type="character" w:styleId="IntenseEmphasis">
    <w:name w:val="Intense Emphasis"/>
    <w:basedOn w:val="DefaultParagraphFont"/>
    <w:uiPriority w:val="21"/>
    <w:qFormat/>
    <w:rsid w:val="00C94BBE"/>
    <w:rPr>
      <w:i/>
      <w:iCs/>
      <w:color w:val="0F4761" w:themeColor="accent1" w:themeShade="BF"/>
    </w:rPr>
  </w:style>
  <w:style w:type="paragraph" w:styleId="IntenseQuote">
    <w:name w:val="Intense Quote"/>
    <w:basedOn w:val="Normal"/>
    <w:next w:val="Normal"/>
    <w:link w:val="IntenseQuoteChar"/>
    <w:uiPriority w:val="30"/>
    <w:qFormat/>
    <w:rsid w:val="00C94B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4BBE"/>
    <w:rPr>
      <w:i/>
      <w:iCs/>
      <w:color w:val="0F4761" w:themeColor="accent1" w:themeShade="BF"/>
    </w:rPr>
  </w:style>
  <w:style w:type="character" w:styleId="IntenseReference">
    <w:name w:val="Intense Reference"/>
    <w:basedOn w:val="DefaultParagraphFont"/>
    <w:uiPriority w:val="32"/>
    <w:qFormat/>
    <w:rsid w:val="00C94BBE"/>
    <w:rPr>
      <w:b/>
      <w:bCs/>
      <w:smallCaps/>
      <w:color w:val="0F4761" w:themeColor="accent1" w:themeShade="BF"/>
      <w:spacing w:val="5"/>
    </w:rPr>
  </w:style>
  <w:style w:type="character" w:styleId="Hyperlink">
    <w:name w:val="Hyperlink"/>
    <w:basedOn w:val="DefaultParagraphFont"/>
    <w:uiPriority w:val="99"/>
    <w:unhideWhenUsed/>
    <w:rsid w:val="00C94BBE"/>
    <w:rPr>
      <w:color w:val="467886" w:themeColor="hyperlink"/>
      <w:u w:val="single"/>
    </w:rPr>
  </w:style>
  <w:style w:type="paragraph" w:customStyle="1" w:styleId="xxxmsonormal">
    <w:name w:val="x_xxmsonormal"/>
    <w:basedOn w:val="Normal"/>
    <w:rsid w:val="00C94BBE"/>
    <w:pPr>
      <w:spacing w:before="100" w:beforeAutospacing="1" w:after="100" w:afterAutospacing="1"/>
    </w:pPr>
    <w:rPr>
      <w:rFonts w:ascii="Times New Roman" w:eastAsia="Times New Roman" w:hAnsi="Times New Roman" w:cs="Times New Roman"/>
      <w:sz w:val="24"/>
      <w:szCs w:val="24"/>
      <w:lang w:eastAsia="en-GB"/>
    </w:rPr>
  </w:style>
  <w:style w:type="paragraph" w:styleId="Revision">
    <w:name w:val="Revision"/>
    <w:hidden/>
    <w:uiPriority w:val="99"/>
    <w:semiHidden/>
    <w:rsid w:val="00C94BBE"/>
    <w:pPr>
      <w:spacing w:after="0" w:line="240" w:lineRule="auto"/>
    </w:pPr>
    <w:rPr>
      <w:rFonts w:ascii="Calibri" w:hAnsi="Calibri" w:cs="Calibri"/>
      <w:kern w:val="0"/>
      <w14:ligatures w14:val="none"/>
    </w:rPr>
  </w:style>
  <w:style w:type="character" w:styleId="CommentReference">
    <w:name w:val="annotation reference"/>
    <w:basedOn w:val="DefaultParagraphFont"/>
    <w:uiPriority w:val="99"/>
    <w:semiHidden/>
    <w:unhideWhenUsed/>
    <w:rsid w:val="00C94BBE"/>
    <w:rPr>
      <w:sz w:val="16"/>
      <w:szCs w:val="16"/>
    </w:rPr>
  </w:style>
  <w:style w:type="paragraph" w:styleId="CommentText">
    <w:name w:val="annotation text"/>
    <w:basedOn w:val="Normal"/>
    <w:link w:val="CommentTextChar"/>
    <w:uiPriority w:val="99"/>
    <w:unhideWhenUsed/>
    <w:rsid w:val="00C94BBE"/>
    <w:rPr>
      <w:sz w:val="20"/>
      <w:szCs w:val="20"/>
    </w:rPr>
  </w:style>
  <w:style w:type="character" w:customStyle="1" w:styleId="CommentTextChar">
    <w:name w:val="Comment Text Char"/>
    <w:basedOn w:val="DefaultParagraphFont"/>
    <w:link w:val="CommentText"/>
    <w:uiPriority w:val="99"/>
    <w:rsid w:val="00C94BBE"/>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94BBE"/>
    <w:rPr>
      <w:b/>
      <w:bCs/>
    </w:rPr>
  </w:style>
  <w:style w:type="character" w:customStyle="1" w:styleId="CommentSubjectChar">
    <w:name w:val="Comment Subject Char"/>
    <w:basedOn w:val="CommentTextChar"/>
    <w:link w:val="CommentSubject"/>
    <w:uiPriority w:val="99"/>
    <w:semiHidden/>
    <w:rsid w:val="00C94BBE"/>
    <w:rPr>
      <w:rFonts w:ascii="Calibri" w:hAnsi="Calibri" w:cs="Calibri"/>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mauerhoff@smmt.co.u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acea.auto/cv-registrations/new-commercial-vehicle-registrations-vans-8-5-trucks-7-5-buses-16-in-the-first-three-quarters-of-2024/" TargetMode="External"/><Relationship Id="rId17" Type="http://schemas.openxmlformats.org/officeDocument/2006/relationships/hyperlink" Target="mailto:ebutcher@smmt.co.uk" TargetMode="External"/><Relationship Id="rId2" Type="http://schemas.openxmlformats.org/officeDocument/2006/relationships/numbering" Target="numbering.xml"/><Relationship Id="rId16" Type="http://schemas.openxmlformats.org/officeDocument/2006/relationships/hyperlink" Target="mailto:sclarke@smmt.co.uk"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mailto:rgibbs@smmt.co.uk" TargetMode="Externa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jboley@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85BE6-C9BB-4DB8-912F-8BDC7CD43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830</Words>
  <Characters>4737</Characters>
  <Application>Microsoft Office Word</Application>
  <DocSecurity>0</DocSecurity>
  <Lines>39</Lines>
  <Paragraphs>11</Paragraphs>
  <ScaleCrop>false</ScaleCrop>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Smythe</dc:creator>
  <cp:keywords/>
  <dc:description/>
  <cp:lastModifiedBy>James Boley</cp:lastModifiedBy>
  <cp:revision>3</cp:revision>
  <dcterms:created xsi:type="dcterms:W3CDTF">2024-11-13T15:57:00Z</dcterms:created>
  <dcterms:modified xsi:type="dcterms:W3CDTF">2024-11-13T16:08:00Z</dcterms:modified>
</cp:coreProperties>
</file>